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46055-2023 i Krokoms kommun</w:t>
      </w:r>
    </w:p>
    <w:p>
      <w:r>
        <w:t>Detta dokument behandlar höga naturvärden i avverkningsanmälan A 46055-2023 i Krokoms kommun. Denna avverkningsanmälan inkom 2023-09-21 och omfattar 11,8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garnlav (NT), lunglav (NT), tretåig hackspett (NT, §4), lavskrika (§4) och revlummer (§9).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77466"/>
            <wp:docPr id="1" name="Picture 1"/>
            <wp:cNvGraphicFramePr>
              <a:graphicFrameLocks noChangeAspect="1"/>
            </wp:cNvGraphicFramePr>
            <a:graphic>
              <a:graphicData uri="http://schemas.openxmlformats.org/drawingml/2006/picture">
                <pic:pic>
                  <pic:nvPicPr>
                    <pic:cNvPr id="0" name="A 46055-2023 karta.png"/>
                    <pic:cNvPicPr/>
                  </pic:nvPicPr>
                  <pic:blipFill>
                    <a:blip r:embed="rId16"/>
                    <a:stretch>
                      <a:fillRect/>
                    </a:stretch>
                  </pic:blipFill>
                  <pic:spPr>
                    <a:xfrm>
                      <a:off x="0" y="0"/>
                      <a:ext cx="5486400" cy="47774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7085107, E 469744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Fridlysta arter</w:t>
      </w:r>
    </w:p>
    <w:p>
      <w:r>
        <w:t>Följande fridlysta arter har sina livsmiljöer och växtplatser i den avverkningsanmälda skogen: tretåig hackspett (NT, §4), lavskrika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Lavskrika (§4)</w:t>
      </w:r>
      <w:r>
        <w:t>, prioriterad art i Skogsvårdslagen, är en mycket stationär fågel, som häckar i äldre, slutna och hänglavsrika barrskogar.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(Skogsstyrelsen 2016). Populationen har minskat med 20–40 % de senaste 30 åren. Arten försvinner successivt framför allt vid dess utbredningsgränser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Lavskrika – ekologi samt krav på livsmiljön</w:t>
      </w:r>
    </w:p>
    <w:p>
      <w:r>
        <w:t>Lavskrikan är fridlyst enligt 4 § artskyddsförordningen (2007:845) och ingår i förteckningen över prioriterade arter i Skogsstyrelsens föreskrifter och allmänna råd (SKSFS 2011:7) bilaga 4.</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Populationen har minskat med 20–40 % de senaste 30 åren, men i Svensk Fågeltaxerings standardrutter varierar antalet kraftigt och ingen minskning kan skönjas de senaste 18 åren. Arten försvinner successivt framför allt vid dess utbredningsgränser (SLU Artdatabanken, 2022).</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