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15028-2026 i Krokoms kommun</w:t>
      </w:r>
    </w:p>
    <w:p>
      <w:r>
        <w:t>Denna tillsynsbegäran behandlar höga naturvärden i avverkningsanmälan A 15028-2026 i Krokoms kommun som inkom 2026-03-23 och omfattar 29,1 ha.</w:t>
      </w:r>
    </w:p>
    <w:p>
      <w:pPr>
        <w:pStyle w:val="Caption"/>
      </w:pPr>
      <w:r>
        <w:drawing>
          <wp:inline xmlns:a="http://schemas.openxmlformats.org/drawingml/2006/main" xmlns:pic="http://schemas.openxmlformats.org/drawingml/2006/picture">
            <wp:extent cx="5486400" cy="4469604"/>
            <wp:docPr id="1" name="Picture 1"/>
            <wp:cNvGraphicFramePr>
              <a:graphicFrameLocks noChangeAspect="1"/>
            </wp:cNvGraphicFramePr>
            <a:graphic>
              <a:graphicData uri="http://schemas.openxmlformats.org/drawingml/2006/picture">
                <pic:pic>
                  <pic:nvPicPr>
                    <pic:cNvPr id="0" name="A 15028-2026 karta.png"/>
                    <pic:cNvPicPr/>
                  </pic:nvPicPr>
                  <pic:blipFill>
                    <a:blip r:embed="rId16"/>
                    <a:stretch>
                      <a:fillRect/>
                    </a:stretch>
                  </pic:blipFill>
                  <pic:spPr>
                    <a:xfrm>
                      <a:off x="0" y="0"/>
                      <a:ext cx="5486400" cy="44696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7041554, E 463076 i SWEREF 99 TM.</w:t>
      </w:r>
    </w:p>
    <w:p>
      <w:r>
        <w:t>I avverkningsanmälan finns fynd av 11 naturvårdsarter, varav 6 är rödlistade, 6 är fridlysta, 9 är typiska (T) och 3 är signalarter (S): garnlav (VU, T), grantaggsvamp (NT), harticka (NT, T), lavskrika (NT, T, §4), tretåig hackspett (NT, T, §4), ullticka (NT, T), guckusko (S, T, §7), korallrot (S, T, §8), ögonpyrola (S, T), videsparv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lavskrika (NT, T, §4), tretåig hackspett (NT, T, §4), ullticka (NT, T), guckusko (S, T, §7), korallrot (S, T, §8), ögonpyrola (S, T) och videsparv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