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28940-2026 i Krokoms kommun</w:t>
      </w:r>
    </w:p>
    <w:p>
      <w:r>
        <w:t>Detta klagomål behandlar höga naturvärden i avverkningsanmälan A 28940-2026 i Krokoms kommun som inkom 2026-06-26 och omfattar 20,7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28940-2026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7078024, E 469103 i SWEREF 99 TM.</w:t>
      </w:r>
    </w:p>
    <w:p>
      <w:r>
        <w:t>I och inom 21 meter från avverkningsanmälan finns fynd av 10 naturvårdsarter, varav 8 är rödlistade, 4 är fridlysta, 10 är typiska (T) och 1 är signalart (S): doftticka (VU, T, §8), garnlav (VU, T), gränsticka (VU, T), doftskinn (NT, T), harticka (NT, T), lunglav (NT, T), tretåig hackspett (NT, T, §4), ullticka (NT, T), plattlummer (S,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