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915-2023 i Krokoms kommun</w:t>
      </w:r>
    </w:p>
    <w:p>
      <w:r>
        <w:t>Denna tillsynsbegäran behandlar höga naturvärden i samrådsanmälan S 915-2023 i Krokoms kommun som inkom 2023-03-14 och omfattar 52,6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S 915-2023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7092469, E 465977 i SWEREF 99 TM.</w:t>
      </w:r>
    </w:p>
    <w:p>
      <w:r>
        <w:t>I samrådsanmälan finns fynd av 8 naturvårdsarter, varav 8 är rödlistade och 6 är typiska (T): fläckporing (VU, T), gräddporing (VU, T), gränsticka (VU, T), smalfotad taggsvamp (VU), blå taggsvamp (NT, T), dofttaggsvamp (NT, T), nordtagging (NT)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fläckporing (VU, T), gräddporing (VU, T), gränsticka (VU, T), blå taggsvamp (NT, T), dofttaggsvamp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