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62113-2024 i Krokoms kommun</w:t>
      </w:r>
    </w:p>
    <w:p>
      <w:r>
        <w:t>Detta dokument behandlar höga naturvärden i avverkningsanmälan A 62113-2024 i Krokoms kommun. Denna avverkningsanmälan inkom 2024-12-30 13:06:15 och omfattar 5,3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finbräken (S), kransrams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79440"/>
            <wp:docPr id="1" name="Picture 1"/>
            <wp:cNvGraphicFramePr>
              <a:graphicFrameLocks noChangeAspect="1"/>
            </wp:cNvGraphicFramePr>
            <a:graphic>
              <a:graphicData uri="http://schemas.openxmlformats.org/drawingml/2006/picture">
                <pic:pic>
                  <pic:nvPicPr>
                    <pic:cNvPr id="0" name="A 62113-2024 karta.png"/>
                    <pic:cNvPicPr/>
                  </pic:nvPicPr>
                  <pic:blipFill>
                    <a:blip r:embed="rId16"/>
                    <a:stretch>
                      <a:fillRect/>
                    </a:stretch>
                  </pic:blipFill>
                  <pic:spPr>
                    <a:xfrm>
                      <a:off x="0" y="0"/>
                      <a:ext cx="5486400" cy="36794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7027666, E 441079 i SWEREF 99 TM.</w:t>
      </w:r>
    </w:p>
    <w:p>
      <w:r>
        <w:rPr>
          <w:b/>
        </w:rPr>
        <w:t>Finbräken</w:t>
      </w:r>
      <w:r>
        <w:t xml:space="preserve"> växer på kalkrika marker i frisk eller fuktig mulljord. Den kräver konstant hög luftfuktighet och är mycket känslig för skogsbruksåtgärder. Arten är placerad högst upp i Skogsstyrelsens värdepyramid för bedömning av skog med höga naturvärden och utgör en karaktärsart för de mest skyddsvärda kalkgranskogarna med långvarig ekologisk kontinuitet och högt skyddsvärde. Finbräken är typisk art för </w:t>
      </w:r>
      <w:r>
        <w:rPr>
          <w:i/>
        </w:rPr>
        <w:t xml:space="preserve">9050 Näringsrik granskog </w:t>
      </w:r>
      <w:r>
        <w:t xml:space="preserve">och </w:t>
      </w:r>
      <w:r>
        <w:rPr>
          <w:i/>
        </w:rPr>
        <w:t xml:space="preserve">9040 Fjällbjörkskog </w:t>
      </w:r>
      <w:r>
        <w:t>(SLU Artdatabanken, 2024; Nitare &amp; Skogsstyrelsen, 2019).</w:t>
      </w:r>
    </w:p>
    <w:p>
      <w:r>
        <w:rPr>
          <w:b/>
        </w:rPr>
        <w:t>Kransrams</w:t>
      </w:r>
      <w:r>
        <w:t xml:space="preserve"> är typisk art för </w:t>
      </w:r>
      <w:r>
        <w:rPr>
          <w:i/>
        </w:rPr>
        <w:t xml:space="preserve">9020 Nordlig ädellövskog </w:t>
      </w:r>
      <w:r>
        <w:t>(SLU Artdatabanken, 2025).</w:t>
      </w:r>
    </w:p>
    <w:p>
      <w:pPr>
        <w:pStyle w:val="Heading1"/>
      </w:pPr>
      <w:r>
        <w:t>Fridlysta arter</w:t>
      </w:r>
    </w:p>
    <w:p>
      <w:r>
        <w:t>Följande fridlysta arter har sina livsmiljöer och växtplatser i den avverkningsanmälda skogen: blåsippa (§9).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