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34803-2025 i Krokoms kommun</w:t>
      </w:r>
    </w:p>
    <w:p>
      <w:r>
        <w:t>Detta klagomål behandlar höga naturvärden i avverkningsanmälan A 34803-2025 i Krokoms kommun som inkom 2025-07-11 och omfattar 20,1 ha.</w:t>
      </w:r>
    </w:p>
    <w:p>
      <w:pPr>
        <w:pStyle w:val="Caption"/>
      </w:pPr>
      <w:r>
        <w:drawing>
          <wp:inline xmlns:a="http://schemas.openxmlformats.org/drawingml/2006/main" xmlns:pic="http://schemas.openxmlformats.org/drawingml/2006/picture">
            <wp:extent cx="5486400" cy="4969008"/>
            <wp:docPr id="1" name="Picture 1"/>
            <wp:cNvGraphicFramePr>
              <a:graphicFrameLocks noChangeAspect="1"/>
            </wp:cNvGraphicFramePr>
            <a:graphic>
              <a:graphicData uri="http://schemas.openxmlformats.org/drawingml/2006/picture">
                <pic:pic>
                  <pic:nvPicPr>
                    <pic:cNvPr id="0" name="A 34803-2025 karta.png"/>
                    <pic:cNvPicPr/>
                  </pic:nvPicPr>
                  <pic:blipFill>
                    <a:blip r:embed="rId16"/>
                    <a:stretch>
                      <a:fillRect/>
                    </a:stretch>
                  </pic:blipFill>
                  <pic:spPr>
                    <a:xfrm>
                      <a:off x="0" y="0"/>
                      <a:ext cx="5486400" cy="49690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7041373, E 461861 i SWEREF 99 TM.</w:t>
      </w:r>
    </w:p>
    <w:p>
      <w:r>
        <w:t>I och inom 25 meter från avverkningsanmälan finns fynd av 17 naturvårdsarter, varav 12 är rödlistade, 4 är fridlysta, 12 är typiska (T) och 4 är signalarter (S): garnlav (VU, T), brunpudrad nållav (NT, T), doftskinn (NT, T), dofttaggsvamp (NT, T), harticka (NT, T), kötticka (NT), liten svartspik (NT), lunglav (NT, T), talltita (NT, §4), tretåig hackspett (NT, T, §4), ullticka (NT, T), vitgrynig nållav (NT), blodticka (S, T), spindelblomster (S, T, §8), trådticka (S,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