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35884-2025 i Krokoms kommun</w:t>
      </w:r>
    </w:p>
    <w:p>
      <w:r>
        <w:t>Denna tillsynsbegäran behandlar höga naturvärden i avverkningsanmälan A 35884-2025 i Krokoms kommun som inkom 2025-07-24 och omfattar 3,1 ha.</w:t>
      </w:r>
    </w:p>
    <w:p>
      <w:pPr>
        <w:pStyle w:val="Caption"/>
      </w:pPr>
      <w:r>
        <w:drawing>
          <wp:inline xmlns:a="http://schemas.openxmlformats.org/drawingml/2006/main" xmlns:pic="http://schemas.openxmlformats.org/drawingml/2006/picture">
            <wp:extent cx="5486400" cy="4502376"/>
            <wp:docPr id="1" name="Picture 1"/>
            <wp:cNvGraphicFramePr>
              <a:graphicFrameLocks noChangeAspect="1"/>
            </wp:cNvGraphicFramePr>
            <a:graphic>
              <a:graphicData uri="http://schemas.openxmlformats.org/drawingml/2006/picture">
                <pic:pic>
                  <pic:nvPicPr>
                    <pic:cNvPr id="0" name="A 35884-2025 karta.png"/>
                    <pic:cNvPicPr/>
                  </pic:nvPicPr>
                  <pic:blipFill>
                    <a:blip r:embed="rId16"/>
                    <a:stretch>
                      <a:fillRect/>
                    </a:stretch>
                  </pic:blipFill>
                  <pic:spPr>
                    <a:xfrm>
                      <a:off x="0" y="0"/>
                      <a:ext cx="5486400" cy="4502376"/>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7038979, E 445212 i SWEREF 99 TM.</w:t>
      </w:r>
    </w:p>
    <w:p>
      <w:r>
        <w:t>I avverkningsanmälan finns fynd av 6 naturvårdsarter, varav 2 är rödlistade, 3 är fridlysta, 5 är typiska (T) och 3 är signalarter (S): harticka (NT, T), tretåig hackspett (NT, T, §4), finbräken (S, T), stuplav (S, T), tvåblad (S, §8) och blåsippa (T, §9).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Harticka (NT)</w:t>
      </w:r>
      <w:r>
        <w:t xml:space="preserve"> är normalt en mycket bra signalart för granskogar med höga naturvärden. Även när svampen påträffas i mer påverkade skogar är det nästan alltid fråga om skogsmiljöer i sena successionsstadier med höga naturvärden. Skogsskötselåtgärder på eller i omedelbar närhet av växtplatserna kan innebära ett hot mot arten. Harticka är typisk art för </w:t>
      </w:r>
      <w:r>
        <w:rPr>
          <w:i/>
        </w:rPr>
        <w:t xml:space="preserve">9010 Taiga, 9050 Näringsrik granskog </w:t>
      </w:r>
      <w:r>
        <w:t xml:space="preserve">och </w:t>
      </w:r>
      <w:r>
        <w:rPr>
          <w:i/>
        </w:rPr>
        <w:t>9030 Landhöjningsskog</w:t>
      </w:r>
      <w:r>
        <w:t xml:space="preserve"> (SLU Artdatabanken, 2024; Nitare &amp; Skogsstyrelsen, 2019).</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Finbräken</w:t>
      </w:r>
      <w:r>
        <w:t xml:space="preserve"> växer på kalkrika marker i frisk eller fuktig mulljord. Den kräver konstant hög luftfuktighet och är mycket känslig för skogsbruksåtgärder. Arten är placerad högst upp i Skogsstyrelsens värdepyramid för bedömning av skog med höga naturvärden och utgör en karaktärsart för de mest skyddsvärda kalkgranskogarna med långvarig ekologisk kontinuitet och högt skyddsvärde. Finbräken är typisk art för </w:t>
      </w:r>
      <w:r>
        <w:rPr>
          <w:i/>
        </w:rPr>
        <w:t xml:space="preserve">9050 Näringsrik granskog </w:t>
      </w:r>
      <w:r>
        <w:t xml:space="preserve">och </w:t>
      </w:r>
      <w:r>
        <w:rPr>
          <w:i/>
        </w:rPr>
        <w:t xml:space="preserve">9040 Fjällbjörkskog </w:t>
      </w:r>
      <w:r>
        <w:t>(SLU Artdatabanken, 2024;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Ytterligare tre sällsynta lavparasiter, </w:t>
      </w:r>
      <w:r>
        <w:rPr>
          <w:i/>
        </w:rPr>
        <w:t>Protounguicularia nephromatis</w:t>
      </w:r>
      <w:r>
        <w:t xml:space="preserve"> (VU), </w:t>
      </w:r>
      <w:r>
        <w:rPr>
          <w:i/>
        </w:rPr>
        <w:t>Refractohilum galligenum</w:t>
      </w:r>
      <w:r>
        <w:t xml:space="preserve"> (NT) och </w:t>
      </w:r>
      <w:r>
        <w:rPr>
          <w:i/>
        </w:rPr>
        <w:t>Roselliniella nephromatis</w:t>
      </w:r>
      <w:r>
        <w:t xml:space="preserve"> (DD), kan också påträffas på stuplav. Stuplav är typisk art för </w:t>
      </w:r>
      <w:r>
        <w:rPr>
          <w:i/>
        </w:rPr>
        <w:t>9010 Taiga</w:t>
      </w:r>
      <w:r>
        <w:t xml:space="preserve"> (SLU Artdatabanken, 2026; Nitare &amp; Skogsstyrelsen, 2019).</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avverkningsanmälda skogen: harticka (NT, T), tretåig hackspett (NT, T, §4), finbräken (S, T), stuplav (S, T) och blåsippa (T, §9).</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p>
      <w:r>
        <w:br w:type="page"/>
      </w:r>
    </w:p>
    <w:p>
      <w:pPr>
        <w:pStyle w:val="Title"/>
      </w:pPr>
      <w:r>
        <w:t>BILAGA 2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2" name="Picture 2"/>
            <wp:cNvGraphicFramePr>
              <a:graphicFrameLocks noChangeAspect="1"/>
            </wp:cNvGraphicFramePr>
            <a:graphic>
              <a:graphicData uri="http://schemas.openxmlformats.org/drawingml/2006/picture">
                <pic:pic>
                  <pic:nvPicPr>
                    <pic:cNvPr id="0" name="uppföljning av västlig taiga.jpeg"/>
                    <pic:cNvPicPr/>
                  </pic:nvPicPr>
                  <pic:blipFill>
                    <a:blip r:embed="rId17"/>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