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52647-2023 i Krokoms kommun</w:t>
      </w:r>
    </w:p>
    <w:p>
      <w:r>
        <w:t>Denna tillsynsbegäran behandlar höga naturvärden i avverkningsanmälan A 52647-2023 i Krokoms kommun som inkom 2023-10-20 och omfattar 32,7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52647-2023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7055239, E 446187 i SWEREF 99 TM.</w:t>
      </w:r>
    </w:p>
    <w:p>
      <w:r>
        <w:t>I och inom 16 meter från avverkningsanmälan finns fynd av 17 naturvårdsarter, varav 16 är rödlistade, 2 är fridlysta, 13 är typiska (T) och 1 är signalart (S): blackticka (VU), doftticka (VU, T, §8), ulltickeporing (VU), brunpudrad nållav (NT, T), doftskinn (NT, T), harticka (NT, T), liten svartspik (NT), lunglav (NT, T), rosenticka (NT, T), rynkskinn (NT, T), rödbrun blekspik (NT, T), stiftgelélav (NT, T), tretåig hackspett (NT, T, §4), ullticka (NT, T), violmussling (NT, T), vitgrynig nållav (NT)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brunpudrad nållav (NT, T), doftskinn (NT, T), harticka (NT, T), lunglav (NT, T), rosenticka (NT, T), rynkskinn (NT, T), rödbrun blekspik (NT, T), stiftgelélav (NT, T), tretåig hackspett (NT, T, §4), ullticka (NT, T), violmussling (NT,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