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samrådsanmälan S 264-2026 i Krokoms kommun</w:t>
      </w:r>
    </w:p>
    <w:p>
      <w:r>
        <w:t>Denna tillsynsbegäran behandlar höga naturvärden i samrådsanmälan S 264-2026 i Krokoms kommun som inkom 2026-01-30 och omfattar 13,5 ha.</w:t>
      </w:r>
    </w:p>
    <w:p>
      <w:pPr>
        <w:pStyle w:val="Caption"/>
      </w:pPr>
      <w:r>
        <w:drawing>
          <wp:inline xmlns:a="http://schemas.openxmlformats.org/drawingml/2006/main" xmlns:pic="http://schemas.openxmlformats.org/drawingml/2006/picture">
            <wp:extent cx="5486400" cy="5594052"/>
            <wp:docPr id="1" name="Picture 1"/>
            <wp:cNvGraphicFramePr>
              <a:graphicFrameLocks noChangeAspect="1"/>
            </wp:cNvGraphicFramePr>
            <a:graphic>
              <a:graphicData uri="http://schemas.openxmlformats.org/drawingml/2006/picture">
                <pic:pic>
                  <pic:nvPicPr>
                    <pic:cNvPr id="0" name="S 264-2026 karta.png"/>
                    <pic:cNvPicPr/>
                  </pic:nvPicPr>
                  <pic:blipFill>
                    <a:blip r:embed="rId16"/>
                    <a:stretch>
                      <a:fillRect/>
                    </a:stretch>
                  </pic:blipFill>
                  <pic:spPr>
                    <a:xfrm>
                      <a:off x="0" y="0"/>
                      <a:ext cx="5486400" cy="5594052"/>
                    </a:xfrm>
                    <a:prstGeom prst="rect"/>
                  </pic:spPr>
                </pic:pic>
              </a:graphicData>
            </a:graphic>
          </wp:inline>
        </w:drawing>
      </w:r>
    </w:p>
    <w:p>
      <w:pPr>
        <w:pStyle w:val="Caption"/>
        <w:spacing w:after="240"/>
      </w:pPr>
      <w:r>
        <w:t>Figur 1. Fyndplatser för naturvårdsarter i och inom 24 meter från samrådsanmälan. Markörer utan svart kant är placerade på fyndplatsen. Markörer med svart kant är placerade vid sidan av fyndplatsen och har ett svart streck som visar fyndplatsens exakta position. Kartans mittpunktskoordinat är N 7082390, E 457921 i SWEREF 99 TM.</w:t>
      </w:r>
    </w:p>
    <w:p>
      <w:r>
        <w:t>I och inom 24 meter från samrådsanmälan finns fynd av 9 naturvårdsarter, varav 5 är rödlistade, 2 är fridlysta, 7 är typiska (T) och 3 är signalarter (S): garnlav (VU, T), rynkskinn (NT, T), tretåig hackspett (NT, T, §4), ullticka (NT, T), vitgrynig nållav (NT), luddlav (S, T), skinnlav (S, T), stuplav (S, T) och fläcknycklar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samrådsanmälan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samrådsanmälda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Rynkskinn (NT)</w:t>
      </w:r>
      <w:r>
        <w:t xml:space="preserve"> är en vednedbrytare som växer på grova granlågor och ingår i en karaktäristisk association av vedsvampar knutna till urskogsartade barrskogar. Den har klassificerats som en “urskogsindikator” och är placerad i toppen av Skogsstyrelsens värdepyramid för bedömning av skog med höga naturvärden. Allt tyder på att rynkskinn är mycket känslig för skogliga ingrepp och lokalerna, som oftast har höga biologiska kvaliteter, bör lämnas till fri utveckling. Rynkskinn är typisk art för </w:t>
      </w:r>
      <w:r>
        <w:rPr>
          <w:i/>
        </w:rPr>
        <w:t xml:space="preserve">9010 Taiga, 9050 Näringsrik granskog </w:t>
      </w:r>
      <w:r>
        <w:t>och</w:t>
      </w:r>
      <w:r>
        <w:rPr>
          <w:i/>
        </w:rPr>
        <w:t xml:space="preserve"> 9030 Landhöjningsskog</w:t>
      </w:r>
      <w:r>
        <w:t xml:space="preserve"> (Nitare &amp; Skogsstyrelsen, 2019; SLU Artdatabanken, 2026).</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Vitgrynig nållav (NT)</w:t>
      </w:r>
      <w:r>
        <w:t xml:space="preserve"> växer nästan uteslutande på bark av gamla, senvuxna granar i skuggiga lägen med hög och jämn luftfuktighet. Den vanligaste naturtypen för arten är kontinuitetsskogar på frisk mark men den finns också i sumpgranskogar. På lång sikt utgör avverkningar av olikåldriga granskogar av naturskogskaraktär ett allvarligt hot mot arten och skogsbruksåtgärder på eller i närheten av växtplatserna bör undvikas. Naturskogsartade, fuktiga granskogar med förekomster av arten signalerar höga biologiska värden och bör bevaras (SLU Artdatabanken, 2024; Nitare &amp; Skogsstyrelsen, 2019).</w:t>
      </w:r>
    </w:p>
    <w:p>
      <w:r>
        <w:rPr>
          <w:b/>
        </w:rPr>
        <w:t>Luddlav</w:t>
      </w:r>
      <w:r>
        <w:t xml:space="preserve"> signalerar lång skoglig kontinuitet med ett stabilt lokal- och mikroklimat med hög och jämn fuktighet. Luddlav är typisk art för </w:t>
      </w:r>
      <w:r>
        <w:rPr>
          <w:i/>
        </w:rPr>
        <w:t>9010 Taiga,</w:t>
      </w:r>
      <w:r>
        <w:t xml:space="preserve"> </w:t>
      </w:r>
      <w:r>
        <w:rPr>
          <w:i/>
        </w:rPr>
        <w:t xml:space="preserve">9020 Nordlig ädellövskog, 9070 Trädklädd betesmark, 9110 Näringsfattig bokskog, 9180 Ädellövskog i branter </w:t>
      </w:r>
      <w:r>
        <w:t>och</w:t>
      </w:r>
      <w:r>
        <w:rPr>
          <w:i/>
        </w:rPr>
        <w:t xml:space="preserve"> 9190 Näringsfattig ekskog </w:t>
      </w:r>
      <w:r>
        <w:t>(Nitare &amp; Skogsstyrelsen, 2019; SLU Artdatabanken, 2025).</w:t>
      </w:r>
    </w:p>
    <w:p>
      <w:r>
        <w:rPr>
          <w:b/>
        </w:rPr>
        <w:t xml:space="preserve">Skinnlav </w:t>
      </w:r>
      <w:r>
        <w:t xml:space="preserve">förekommer på diverse lövträd, främst på gammal asp och sälg. Den påträffas främst i områden med lång kontinuitet av grova lövträd och signalerar skogsmark med höga naturvärden. På lokalerna förekommer som regel ett flertal andra ovanliga eller rödlistade lavar. I likhet med gelélavarna, etablerar sig skinnlaven i skogsmark på grova aspar i sena lövsuccessioner. Skinnlav är typisk art för </w:t>
      </w:r>
      <w:r>
        <w:rPr>
          <w:i/>
        </w:rPr>
        <w:t xml:space="preserve">9010 Taiga, 9020 Nordlig ädellövskog </w:t>
      </w:r>
      <w:r>
        <w:t xml:space="preserve">och </w:t>
      </w:r>
      <w:r>
        <w:rPr>
          <w:i/>
        </w:rPr>
        <w:t xml:space="preserve">9070 Trädklädd betesmark </w:t>
      </w:r>
      <w:r>
        <w:t>(Nitare &amp; Skogsstyrelsen, 2019; SLU Artdatabanken, 2025).</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samrådsanmälda skogen: garnlav (VU, T), rynkskinn (NT, T), tretåig hackspett (NT, T, §4), ullticka (NT, T), luddlav (S, T), skinnlav (S, T) och stuplav (S, T).</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