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49572-2024 i Krokoms kommun</w:t>
      </w:r>
    </w:p>
    <w:p>
      <w:r>
        <w:t>Detta dokument behandlar höga naturvärden i avverkningsanmälan A 49572-2024 i Krokoms kommun. Denna avverkningsanmälan inkom 2024-10-31 12:13:26 och omfattar 9,0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14 naturvårdsarter hittats: läderdoftande fingersvamp (VU), garnlav (NT), puderspindling (NT), talltita (NT, §4), tretåig hackspett (NT, §4), äggvaxskivling (NT), dropptaggsvamp (S), fjällig taggsvamp s.str. (S), grönkulla (S, §8), korallblylav (S), kryddspindling (S), skarp dropptaggsvamp (S), svavelriska (S) och blåsippa (§9).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05577"/>
            <wp:docPr id="1" name="Picture 1"/>
            <wp:cNvGraphicFramePr>
              <a:graphicFrameLocks noChangeAspect="1"/>
            </wp:cNvGraphicFramePr>
            <a:graphic>
              <a:graphicData uri="http://schemas.openxmlformats.org/drawingml/2006/picture">
                <pic:pic>
                  <pic:nvPicPr>
                    <pic:cNvPr id="0" name="A 49572-2024 karta.png"/>
                    <pic:cNvPicPr/>
                  </pic:nvPicPr>
                  <pic:blipFill>
                    <a:blip r:embed="rId16"/>
                    <a:stretch>
                      <a:fillRect/>
                    </a:stretch>
                  </pic:blipFill>
                  <pic:spPr>
                    <a:xfrm>
                      <a:off x="0" y="0"/>
                      <a:ext cx="5486400" cy="49055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7041355, E 450831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Kryddspindling (NT)</w:t>
      </w:r>
      <w:r>
        <w:t xml:space="preserve"> signalerar örtrika granskogar som normalt har höga naturvärden. Oftast växer den i äldre granskog på kalkrikt underlag och svampen är en mycket användbar signalart för denna miljö. Den utgör en viktig karaktärsart för all äldre kalkbarrskog med lång trädkontinuitet av gran. På lokalerna förekommer nästan alltid många ovanliga och rödlistade arter. Den totala populationen i landet har minskat och bedöms fortsätta minska till följd av avverkning av äldre barrskogar. Kryddspindling är typisk art för </w:t>
      </w:r>
      <w:r>
        <w:rPr>
          <w:i/>
        </w:rPr>
        <w:t xml:space="preserve">9050 Näringsrik granskog </w:t>
      </w:r>
      <w:r>
        <w:t>(Nitare &amp; Skogsstyrelsen, 2000; SLU Artdatabanken, 2026).</w:t>
      </w:r>
    </w:p>
    <w:p>
      <w:r>
        <w:rPr>
          <w:b/>
        </w:rPr>
        <w:t xml:space="preserve">Läderdoftande fingersvamp (VU) </w:t>
      </w:r>
      <w:r>
        <w:t>bildar mykorrhiza med gran i örtrik äldre barrskog, ofta på kalkrik mark. Den har en speciell doft som kan påminna om nytt skoläder (skoaffär), därav det svenska namnet. Den totala populationen i landet bedöms ändå ha minskat starkt och fortsatt kommer att minska då arten är knuten till en bördig äldre kalkgranskogsmiljö som successivt avverkas och där få områden alltjämt är formellt skyddade. All form av hårdhänt skogsavverkning på eller i närheten av växtplatsen missgynnar arten. Artens huvudsakliga koppling till produktiva äldre granskogar med hög bonitet gör den särskilt utsatt för slutavverkning. Samtliga lokaler bör undantas från rationellt skogsbruk och få ett områdesskydd (SLU Artdatabanken, 2024; Nitare &amp; Skogsstyrelsen, 2019).</w:t>
      </w:r>
    </w:p>
    <w:p>
      <w:r>
        <w:rPr>
          <w:b/>
        </w:rPr>
        <w:t xml:space="preserve">Puderspindling (NT) </w:t>
      </w:r>
      <w:r>
        <w:t>bildar mykorrhiza med gran och växer i äldre ängsgranskog på kalkrik mark. Påträffas ofta i myrstackar. Storskaligt skogsbruk med kalavverkning och markberedning eller kraftig gallring är det främsta hotet mot arten. På sikt är det ett problem att skogar av denna typ, med stort inslag av äldre träd inte nybildas. Ett fullständigt skydd för artens lokaler bör övervägas. Där avverkning ändå tillåts måste den ske försiktigt så att kontinuiteten i trädskiktet inte bryts. Ett tillräckligt antal äldre träd måste finnas kvar i beståndet. Det är önskvärt med stor naturvårdshänsyn i alla områden med äldre granskog på näringsrik mark oavsett om dess flora är känd eller ej (SLU Artdatabanken, 2025).</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pPr>
        <w:pStyle w:val="Heading1"/>
      </w:pPr>
      <w:r>
        <w:t>Fridlysta arter</w:t>
      </w:r>
    </w:p>
    <w:p>
      <w:r>
        <w:t>Följande fridlysta arter har sina livsmiljöer och växtplatser i den avverkningsanmälda skogen: talltita (NT, §4), tretåig hackspett (NT, §4), grönkulla (S,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 xml:space="preserve">Grönkulla (§8) </w:t>
      </w:r>
      <w:r>
        <w:t xml:space="preserve">är typisk art för </w:t>
      </w:r>
      <w:r>
        <w:rPr>
          <w:i/>
        </w:rPr>
        <w:t xml:space="preserve">9040 Fjällbjörkskog, 9070 Trädklädd betesmark, 6170 Alpina kalkgräsmarker, 6520 Höglänta slåtterängar </w:t>
      </w:r>
      <w:r>
        <w:t>och</w:t>
      </w:r>
      <w:r>
        <w:rPr>
          <w:i/>
        </w:rPr>
        <w:t xml:space="preserve"> 6210 Kalkgräsmarker </w:t>
      </w:r>
      <w:r>
        <w:t>(SLU Artdatabanken, 2025).</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