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12809-2024 i Krokoms kommun</w:t>
      </w:r>
    </w:p>
    <w:p>
      <w:r>
        <w:t>Denna tillsynsbegäran behandlar höga naturvärden i avverkningsanmälan A 12809-2024 i Krokoms kommun som inkom 2024-04-02 och omfattar 54,8 ha.</w:t>
      </w:r>
    </w:p>
    <w:p>
      <w:pPr>
        <w:pStyle w:val="Caption"/>
      </w:pPr>
      <w:r>
        <w:drawing>
          <wp:inline xmlns:a="http://schemas.openxmlformats.org/drawingml/2006/main" xmlns:pic="http://schemas.openxmlformats.org/drawingml/2006/picture">
            <wp:extent cx="5486400" cy="3542593"/>
            <wp:docPr id="1" name="Picture 1"/>
            <wp:cNvGraphicFramePr>
              <a:graphicFrameLocks noChangeAspect="1"/>
            </wp:cNvGraphicFramePr>
            <a:graphic>
              <a:graphicData uri="http://schemas.openxmlformats.org/drawingml/2006/picture">
                <pic:pic>
                  <pic:nvPicPr>
                    <pic:cNvPr id="0" name="A 12809-2024 karta.png"/>
                    <pic:cNvPicPr/>
                  </pic:nvPicPr>
                  <pic:blipFill>
                    <a:blip r:embed="rId16"/>
                    <a:stretch>
                      <a:fillRect/>
                    </a:stretch>
                  </pic:blipFill>
                  <pic:spPr>
                    <a:xfrm>
                      <a:off x="0" y="0"/>
                      <a:ext cx="5486400" cy="354259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7072508, E 460335 i SWEREF 99 TM.</w:t>
      </w:r>
    </w:p>
    <w:p>
      <w:r>
        <w:t>I och inom 23 meter från avverkningsanmälan finns fynd av 33 naturvårdsarter, varav 13 är rödlistade, 7 är fridlysta, 24 är typiska (T) och 17 är signalarter (S): garnlav (VU, T), gränsticka (VU, T), norsk näverlav (VU), Cheiromycina petri (NT), doftskinn (NT, T), gammelgransskål (NT, T), grynig filtlav (NT, T), lunglav (NT, T), nordlig nållav (NT), skrovellav (NT, T), talltita (NT, §4), ullticka (NT, T), vitgrynig nållav (NT), bårdlav (S, T), finbräken (S, T), grönkulla (S, T, §8), gytterlav (S, T), korallblylav (S, T), korallrot (S, T, §8), kransrams (S, T), luddlav (S, T), skinnlav (S, T), spindelblomster (S, T, §8), stuplav (S, T), svart trolldruva (S, T), taggbräken (S), tibast (S, T), trådticka (S, T), vedticka (S, T), ögonpyrola (S, T),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i/>
        </w:rPr>
        <w:t>Cheiromycina petri</w:t>
      </w:r>
      <w:r>
        <w:rPr>
          <w:b/>
        </w:rPr>
        <w:t xml:space="preserve"> (NT)</w:t>
      </w:r>
      <w:r>
        <w:t xml:space="preserve"> är påträffad på viden, gran och björkar. Arten påverkas negativt av förändrad beståndsstruktur och det föreligger indikation på eller misstanke om populationsminskning. Minskningen avser förekomstarea, kvalitén på artens habitat, antalet lokalområden och antalet reproduktiva individer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grynig filtlav (NT, T), lunglav (NT, T), skrovellav (NT, T), ullticka (NT, T), bårdlav (S, T), finbräken (S, T), grönkulla (S, T, §8), gytterlav (S, T), korallblylav (S, T), korallrot (S, T, §8), kransrams (S, T), luddlav (S, T), skinnlav (S, T), spindelblomster (S, T, §8), stuplav (S, T), svart trolldruva (S, T), tibast (S, T), trådticka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