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klagomål behandlar höga naturvärden i avverkningsanmälan A 18570-2023 i Krokoms kommun som inkom 2023-04-25 och omfattar 21,8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7086930, E 451107 i SWEREF 99 TM.</w:t>
      </w:r>
    </w:p>
    <w:p>
      <w:r>
        <w:t>I och inom 23 meter från avverkningsanmälan finns fynd av 17 naturvårdsarter, varav 9 är rödlistade, 5 är fridlysta, 15 är typiska (T) och 6 är signalarter (S): doftticka (VU, T, §8), garnlav (VU, T), brunpudrad nållav (NT, T), harticka (NT, T), lavskrika (NT, T, §4), rödbrun blekspik (NT, T), skrovellav (NT, T), tretåig hackspett (NT, T, §4), ullticka (NT, T), granriska (S), gulnål (S, T), gytterlav (S, T), stuplav (S, T), trådticka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