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54750-2025 i Krokoms kommun</w:t>
      </w:r>
    </w:p>
    <w:p>
      <w:r>
        <w:t>Detta klagomål behandlar höga naturvärden i avverkningsanmälan A 54750-2025 i Krokoms kommun som inkom 2025-11-05 och omfattar 8,8 ha.</w:t>
      </w:r>
    </w:p>
    <w:p>
      <w:pPr>
        <w:pStyle w:val="Caption"/>
      </w:pPr>
      <w:r>
        <w:drawing>
          <wp:inline xmlns:a="http://schemas.openxmlformats.org/drawingml/2006/main" xmlns:pic="http://schemas.openxmlformats.org/drawingml/2006/picture">
            <wp:extent cx="5486400" cy="5525993"/>
            <wp:docPr id="1" name="Picture 1"/>
            <wp:cNvGraphicFramePr>
              <a:graphicFrameLocks noChangeAspect="1"/>
            </wp:cNvGraphicFramePr>
            <a:graphic>
              <a:graphicData uri="http://schemas.openxmlformats.org/drawingml/2006/picture">
                <pic:pic>
                  <pic:nvPicPr>
                    <pic:cNvPr id="0" name="A 54750-2025 karta.png"/>
                    <pic:cNvPicPr/>
                  </pic:nvPicPr>
                  <pic:blipFill>
                    <a:blip r:embed="rId16"/>
                    <a:stretch>
                      <a:fillRect/>
                    </a:stretch>
                  </pic:blipFill>
                  <pic:spPr>
                    <a:xfrm>
                      <a:off x="0" y="0"/>
                      <a:ext cx="5486400" cy="55259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7039668, E 442862 i SWEREF 99 TM.</w:t>
      </w:r>
    </w:p>
    <w:p>
      <w:r>
        <w:t>I avverkningsanmälan finns fynd av 4 naturvårdsarter, varav 4 är rödlistade, 1 är fridlyst och 3 är typiska (T): garnlav (VU, T), harticka (NT, T), tretåig hackspett (NT, T, §4) och Porodaedalea chrysoloma (DD).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i/>
        </w:rPr>
        <w:t>Porodaedalea chrysoloma (DD)</w:t>
      </w:r>
      <w:r>
        <w:t xml:space="preserve"> förekommer främst i äldre skogar med naturskogskaraktär och är en god signalart för skyddsvärda granskogsmiljöer. Den bedöms ha minskat starkt under senare år på grund av skogsavverkningar, då den framför allt växer i äldre grannaturskog med långvarig grankontinuitet. Det som tidigare inbegripit grantickan har visat sig röra sig om två arter; tajgagranticka </w:t>
      </w:r>
      <w:r>
        <w:rPr>
          <w:i/>
        </w:rPr>
        <w:t>Porodaedalea abietis</w:t>
      </w:r>
      <w:r>
        <w:t xml:space="preserve"> (LC) och </w:t>
      </w:r>
      <w:r>
        <w:rPr>
          <w:i/>
        </w:rPr>
        <w:t>Porodaedalea chrysoloma</w:t>
      </w:r>
      <w:r>
        <w:t xml:space="preserve"> </w:t>
      </w:r>
      <w:r>
        <w:rPr>
          <w:i/>
        </w:rPr>
        <w:t>(DD)</w:t>
      </w:r>
      <w:r>
        <w:t xml:space="preserve">. Den nordligare arten, tajgagranticka, bildar större fruktkroppar och har sin främsta förekomst i norra Sverige, medan den mer tunnköttiga arten, </w:t>
      </w:r>
      <w:r>
        <w:rPr>
          <w:i/>
        </w:rPr>
        <w:t>P. chrysoloma</w:t>
      </w:r>
      <w:r>
        <w:t xml:space="preserve">, förekommer i sydöstra Sverige och på Gotland. Faktaunderlaget för </w:t>
      </w:r>
      <w:r>
        <w:rPr>
          <w:i/>
        </w:rPr>
        <w:t>P. chrysoloma</w:t>
      </w:r>
      <w:r>
        <w:t xml:space="preserve"> bedöms vara otillräckligt för att avgöra vilken av de olika rödlistningskategorierna som är mest trolig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