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665-2024 i Krokoms kommun</w:t>
      </w:r>
    </w:p>
    <w:p>
      <w:r>
        <w:t>Denna tillsynsbegäran behandlar höga naturvärden i samrådsanmälan S 665-2024 i Krokoms kommun som inkom 2024-03-07 och omfattar 37,1 ha.</w:t>
      </w:r>
    </w:p>
    <w:p>
      <w:pPr>
        <w:pStyle w:val="Caption"/>
      </w:pPr>
      <w:r>
        <w:drawing>
          <wp:inline xmlns:a="http://schemas.openxmlformats.org/drawingml/2006/main" xmlns:pic="http://schemas.openxmlformats.org/drawingml/2006/picture">
            <wp:extent cx="5486400" cy="3648173"/>
            <wp:docPr id="1" name="Picture 1"/>
            <wp:cNvGraphicFramePr>
              <a:graphicFrameLocks noChangeAspect="1"/>
            </wp:cNvGraphicFramePr>
            <a:graphic>
              <a:graphicData uri="http://schemas.openxmlformats.org/drawingml/2006/picture">
                <pic:pic>
                  <pic:nvPicPr>
                    <pic:cNvPr id="0" name="S 665-2024 karta.png"/>
                    <pic:cNvPicPr/>
                  </pic:nvPicPr>
                  <pic:blipFill>
                    <a:blip r:embed="rId16"/>
                    <a:stretch>
                      <a:fillRect/>
                    </a:stretch>
                  </pic:blipFill>
                  <pic:spPr>
                    <a:xfrm>
                      <a:off x="0" y="0"/>
                      <a:ext cx="5486400" cy="364817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7085642, E 469088 i SWEREF 99 TM.</w:t>
      </w:r>
    </w:p>
    <w:p>
      <w:r>
        <w:t>I och inom 12 meter från samrådsanmälan finns fynd av 7 naturvårdsarter, varav 6 är rödlistade, 1 är fridlyst, 6 är typiska (T) och 1 är signalart (S): garnlav (VU, T), harticka (NT, T), lunglav (NT, T), mörk kolflarnlav (NT), skrovellav (NT, T), tretåig hackspett (NT, T, §4) och gytterlav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harticka (NT, T), lunglav (NT, T), skrovellav (NT, T), tretåig hackspett (NT, T, §4) och gytterlav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