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17285-2026 i Krokoms kommun</w:t>
      </w:r>
    </w:p>
    <w:p>
      <w:r>
        <w:t>Detta klagomål behandlar höga naturvärden i avverkningsanmälan A 17285-2026 i Krokoms kommun som inkom 2026-04-07 och omfattar 32,1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7285-2026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7086047, E 484782 i SWEREF 99 TM.</w:t>
      </w:r>
    </w:p>
    <w:p>
      <w:r>
        <w:t>I och inom 4 meter från avverkningsanmälan finns fynd av 22 naturvårdsarter, varav 17 är rödlistade, 1 är fridlyst, 16 är typiska (T) och 5 är signalarter (S): skrovellavsknapp (EN), blackticka (VU), garnlav (VU, T), gränsticka (VU, T), norsk näverlav (VU), skuggnål (VU), brunpudrad nållav (NT, T), doftskinn (NT, T), gammelgransskål (NT, T), harticka (NT, T), liten svartspik (NT), lunglav (NT, T), rödbrun blekspik (NT, T), skrovellav (NT, T), tretåig hackspett (NT, T, §4), ullticka (NT, T), vågticka (NT), bårdlav (S, T), korallblylav (S,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