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59464-2023 i Krokoms kommun</w:t>
      </w:r>
    </w:p>
    <w:p>
      <w:r>
        <w:t>Denna tillsynsbegäran behandlar höga naturvärden i avverkningsanmälan A 59464-2023 i Krokoms kommun som inkom 2023-11-24 och omfattar 2,5 ha.</w:t>
      </w:r>
    </w:p>
    <w:p>
      <w:pPr>
        <w:pStyle w:val="Caption"/>
      </w:pPr>
      <w:r>
        <w:drawing>
          <wp:inline xmlns:a="http://schemas.openxmlformats.org/drawingml/2006/main" xmlns:pic="http://schemas.openxmlformats.org/drawingml/2006/picture">
            <wp:extent cx="5192907" cy="5724000"/>
            <wp:docPr id="1" name="Picture 1"/>
            <wp:cNvGraphicFramePr>
              <a:graphicFrameLocks noChangeAspect="1"/>
            </wp:cNvGraphicFramePr>
            <a:graphic>
              <a:graphicData uri="http://schemas.openxmlformats.org/drawingml/2006/picture">
                <pic:pic>
                  <pic:nvPicPr>
                    <pic:cNvPr id="0" name="A 59464-2023 karta.png"/>
                    <pic:cNvPicPr/>
                  </pic:nvPicPr>
                  <pic:blipFill>
                    <a:blip r:embed="rId16"/>
                    <a:stretch>
                      <a:fillRect/>
                    </a:stretch>
                  </pic:blipFill>
                  <pic:spPr>
                    <a:xfrm>
                      <a:off x="0" y="0"/>
                      <a:ext cx="519290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7026517, E 446236 i SWEREF 99 TM.</w:t>
      </w:r>
    </w:p>
    <w:p>
      <w:r>
        <w:t>I och inom 25 meter från avverkningsanmälan finns fynd av 14 naturvårdsarter, varav 9 är rödlistade, 3 är fridlysta, 9 är typiska (T) och 3 är signalarter (S): garnlav (VU, T), norsk näverlav (VU), liten svartspik (NT), rynkskinn (NT, T), talltagel (NT, T), talltita (NT, §4), ullticka (NT, T), vitgrynig nållav (NT), Miriquidica majae (DD), barkkornlav (S, T), gulnål (S, T), rostfläck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i/>
        </w:rPr>
        <w:t xml:space="preserve">Miriquidica majae </w:t>
      </w:r>
      <w:r>
        <w:rPr>
          <w:b/>
        </w:rPr>
        <w:t>(DD)</w:t>
      </w:r>
      <w:r>
        <w:t xml:space="preserve"> är en svedskivlav som växer på gran. Enstaka fynd från Jämtland. Arten påverkas negativt av brist på kontinuitetsskog. Faktaunderlaget bedöms vara otillräckligt för att avgöra vilken av de olika rödlistningskategorierna som är mest trolig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rynkskinn (NT, T), talltagel (NT, T), ullticka (NT, T), barkkornlav (S, T), gulnål (S, T), rostfläck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