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38791-2025 i Krokoms kommun</w:t>
      </w:r>
    </w:p>
    <w:p>
      <w:r>
        <w:t>Detta klagomål behandlar höga naturvärden i avverkningsanmälan A 38791-2025 i Krokoms kommun som inkom 2025-08-18 och omfattar 36,1 ha.</w:t>
      </w:r>
    </w:p>
    <w:p>
      <w:pPr>
        <w:pStyle w:val="Caption"/>
      </w:pPr>
      <w:r>
        <w:drawing>
          <wp:inline xmlns:a="http://schemas.openxmlformats.org/drawingml/2006/main" xmlns:pic="http://schemas.openxmlformats.org/drawingml/2006/picture">
            <wp:extent cx="5332565" cy="5724000"/>
            <wp:docPr id="1" name="Picture 1"/>
            <wp:cNvGraphicFramePr>
              <a:graphicFrameLocks noChangeAspect="1"/>
            </wp:cNvGraphicFramePr>
            <a:graphic>
              <a:graphicData uri="http://schemas.openxmlformats.org/drawingml/2006/picture">
                <pic:pic>
                  <pic:nvPicPr>
                    <pic:cNvPr id="0" name="A 38791-2025 karta.png"/>
                    <pic:cNvPicPr/>
                  </pic:nvPicPr>
                  <pic:blipFill>
                    <a:blip r:embed="rId16"/>
                    <a:stretch>
                      <a:fillRect/>
                    </a:stretch>
                  </pic:blipFill>
                  <pic:spPr>
                    <a:xfrm>
                      <a:off x="0" y="0"/>
                      <a:ext cx="5332565"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7047992, E 440170 i SWEREF 99 TM.</w:t>
      </w:r>
    </w:p>
    <w:p>
      <w:r>
        <w:t>I och inom 12 meter från avverkningsanmälan finns fynd av 41 naturvårdsarter, varav 22 är rödlistade, 6 är fridlysta, 20 är typiska (T) och 16 är signalarter (S): bitter taggsvamp (EN), garnlav (VU, T), läderdoftande fingersvamp (VU), stor odörspindling (VU), barrfagerspindling (NT), blå taggsvamp (NT, T), dofttaggsvamp (NT, T), fjällig taggsvamp s.str. (NT), grantaggsvamp (NT), harticka (NT, T), kryddspindling (NT, T), lunglav (NT, T), orange taggsvamp (NT, T), persiljespindling (NT), Phellodon dititomentosus (NT), rödfläckig zontaggsvamp (NT), skarp dropptaggsvamp (NT), skrovellav (NT, T), sotvaxskivling (NT), tretåig hackspett (NT, T, §4), ullticka (NT, T), äggvaxskivling (NT), bårdlav (S, T), diskvaxskivling (S), granriska (S), grönkulla (S, T, §8), kamjordstjärna (S), korallblylav (S, T), kransrams (S, T), luddlav (S, T), strimspindling (S), stuplav (S, T), svavelriska (S), tibast (S, T), trådfräken (S), trådticka (S, T), tvåblad (S, §8), zontaggsvamp (S), blåsippa (T, §9),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Stor odörspindling (VU) </w:t>
      </w:r>
      <w:r>
        <w:t>bildar mykorrhiza med tall och gran i kalktallskog och ängsgranskog, främst i äldre kalkbarrskog. En fortlöpande minskning bedöms pågå p.g.a. slutavverkningar av äldre kontinuitetsbarrskog. Har uppenbart svårt att återetableras efter avverkning. Kända växtplatser bör inte utsättas för omfattande huggningar eller andra kraftiga störningar som förändrar miljön (SLU Artdatabanken, 2025).</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i/>
        </w:rPr>
        <w:t xml:space="preserve">Phellodon dititomentosus </w:t>
      </w:r>
      <w:r>
        <w:rPr>
          <w:b/>
        </w:rPr>
        <w:t xml:space="preserve">(NT) </w:t>
      </w:r>
      <w:r>
        <w:t>är en lädertaggsvamp som bildar mykorrhiza med gran i äldre barrskog på kalkrik mark. Den totala populationen i landet bedöms ha minskat och förväntas fortsätta minska på grund av slutavverkning av äldre kalkbarrskog och kontinuitetsskog. Arten har sannolikt svårt att återetablera sig efter kalavverkning, och det saknas tecken på att den långsiktigt kan etablera och reproducera sig i skogar där kontinuerlig markberedning, gödsling eller trakthyggesbruk förekommer (SLU Artdatabanken, 2026).</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41 naturvårdsarter varav 22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