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10247-2021 i Krokoms kommun</w:t>
      </w:r>
    </w:p>
    <w:p>
      <w:r>
        <w:t>Detta klagomål behandlar höga naturvärden i samrådsanmälan S 10247-2021 i Krokoms kommun som inkom 2021-12-16 och omfattar 6,2 ha.</w:t>
      </w:r>
    </w:p>
    <w:p>
      <w:pPr>
        <w:pStyle w:val="Caption"/>
      </w:pPr>
      <w:r>
        <w:drawing>
          <wp:inline xmlns:a="http://schemas.openxmlformats.org/drawingml/2006/main" xmlns:pic="http://schemas.openxmlformats.org/drawingml/2006/picture">
            <wp:extent cx="5486400" cy="4692952"/>
            <wp:docPr id="1" name="Picture 1"/>
            <wp:cNvGraphicFramePr>
              <a:graphicFrameLocks noChangeAspect="1"/>
            </wp:cNvGraphicFramePr>
            <a:graphic>
              <a:graphicData uri="http://schemas.openxmlformats.org/drawingml/2006/picture">
                <pic:pic>
                  <pic:nvPicPr>
                    <pic:cNvPr id="0" name="S 10247-2021 karta.png"/>
                    <pic:cNvPicPr/>
                  </pic:nvPicPr>
                  <pic:blipFill>
                    <a:blip r:embed="rId16"/>
                    <a:stretch>
                      <a:fillRect/>
                    </a:stretch>
                  </pic:blipFill>
                  <pic:spPr>
                    <a:xfrm>
                      <a:off x="0" y="0"/>
                      <a:ext cx="5486400" cy="4692952"/>
                    </a:xfrm>
                    <a:prstGeom prst="rect"/>
                  </pic:spPr>
                </pic:pic>
              </a:graphicData>
            </a:graphic>
          </wp:inline>
        </w:drawing>
      </w:r>
    </w:p>
    <w:p>
      <w:pPr>
        <w:pStyle w:val="Caption"/>
        <w:spacing w:after="240"/>
      </w:pPr>
      <w:r>
        <w:t>Figur 1. Fyndplatser för naturvårdsarter i och inom 2 meter från samrådsanmälan. Markörer utan svart kant är placerade på fyndplatsen. Markörer med svart kant är placerade vid sidan av fyndplatsen och har ett svart streck som visar fyndplatsens exakta position. Kartans mittpunktskoordinat är N 7083679, E 474113 i SWEREF 99 TM.</w:t>
      </w:r>
    </w:p>
    <w:p>
      <w:r>
        <w:t>I och inom 2 meter från samrådsanmälan finns fynd av 3 naturvårdsarter, varav 3 är rödlistade, 1 är fridlyst och 3 är typiska (T): knärot (VU, T, §8), kolflarnlav (NT, T) och rynkskinn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samrådsanmälda området finns 11 fyndplatser för knärot registrerade på Artportalen. Figur 2 visar gränserna för buffertzoner på 50 m, som behöver lämnas kring fyndplatserna för att knärotslokalerna inte ska försvinna vid en avverkning. Av det samrådsanmälda området överlappar 3.37 ha med buffertzonerna och får av detta skäl inte avverkas.</w:t>
      </w:r>
    </w:p>
    <w:p>
      <w:pPr>
        <w:pStyle w:val="Caption"/>
      </w:pPr>
      <w:r>
        <w:drawing>
          <wp:inline xmlns:a="http://schemas.openxmlformats.org/drawingml/2006/main" xmlns:pic="http://schemas.openxmlformats.org/drawingml/2006/picture">
            <wp:extent cx="5486400" cy="5584269"/>
            <wp:docPr id="2" name="Picture 2"/>
            <wp:cNvGraphicFramePr>
              <a:graphicFrameLocks noChangeAspect="1"/>
            </wp:cNvGraphicFramePr>
            <a:graphic>
              <a:graphicData uri="http://schemas.openxmlformats.org/drawingml/2006/picture">
                <pic:pic>
                  <pic:nvPicPr>
                    <pic:cNvPr id="0" name="S 10247-2021 karta knärot.png"/>
                    <pic:cNvPicPr/>
                  </pic:nvPicPr>
                  <pic:blipFill>
                    <a:blip r:embed="rId17"/>
                    <a:stretch>
                      <a:fillRect/>
                    </a:stretch>
                  </pic:blipFill>
                  <pic:spPr>
                    <a:xfrm>
                      <a:off x="0" y="0"/>
                      <a:ext cx="5486400" cy="5584269"/>
                    </a:xfrm>
                    <a:prstGeom prst="rect"/>
                  </pic:spPr>
                </pic:pic>
              </a:graphicData>
            </a:graphic>
          </wp:inline>
        </w:drawing>
      </w:r>
    </w:p>
    <w:p>
      <w:pPr>
        <w:pStyle w:val="Caption"/>
        <w:spacing w:after="240"/>
      </w:pPr>
      <w:r>
        <w:t>Figur 2. Fyndplatser och buffertzoner för knärot i det samrådsanmälda området. Endast fyndplatser vars buffertzoner överlappar med det samrådsanmälda området har tagits med i visualiseringen. Kartans mittpunktskoordinat är N 7083679, E 474113 i SWEREF 99 TM.</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