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67089-2021 i Krokoms kommun</w:t>
      </w:r>
    </w:p>
    <w:p>
      <w:r>
        <w:t>Denna tillsynsbegäran behandlar höga naturvärden i avverkningsanmälan A 67089-2021 i Krokoms kommun som inkom 2021-11-22 och omfattar 15,4 ha.</w:t>
      </w:r>
    </w:p>
    <w:p>
      <w:pPr>
        <w:pStyle w:val="Caption"/>
      </w:pPr>
      <w:r>
        <w:drawing>
          <wp:inline xmlns:a="http://schemas.openxmlformats.org/drawingml/2006/main" xmlns:pic="http://schemas.openxmlformats.org/drawingml/2006/picture">
            <wp:extent cx="5486400" cy="3760995"/>
            <wp:docPr id="1" name="Picture 1"/>
            <wp:cNvGraphicFramePr>
              <a:graphicFrameLocks noChangeAspect="1"/>
            </wp:cNvGraphicFramePr>
            <a:graphic>
              <a:graphicData uri="http://schemas.openxmlformats.org/drawingml/2006/picture">
                <pic:pic>
                  <pic:nvPicPr>
                    <pic:cNvPr id="0" name="A 67089-2021 karta.png"/>
                    <pic:cNvPicPr/>
                  </pic:nvPicPr>
                  <pic:blipFill>
                    <a:blip r:embed="rId16"/>
                    <a:stretch>
                      <a:fillRect/>
                    </a:stretch>
                  </pic:blipFill>
                  <pic:spPr>
                    <a:xfrm>
                      <a:off x="0" y="0"/>
                      <a:ext cx="5486400" cy="376099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7032666, E 446882 i SWEREF 99 TM.</w:t>
      </w:r>
    </w:p>
    <w:p>
      <w:r>
        <w:t>I och inom 25 meter från avverkningsanmälan finns fynd av 53 naturvårdsarter, varav 34 är rödlistade, 9 är fridlysta, 30 är typiska (T) och 16 är signalarter (S): skarptandad daggkåpa (EN), fjällfotad musseron (VU), garnlav (VU, T), gränsticka (VU, T), kejsarskivling (VU), knärot (VU, T, §8), läderdoftande fingersvamp (VU), norsk näverlav (VU), taggfingersvamp (VU), doftskinn (NT, T), dofttaggsvamp (NT, T), flattoppad klubbsvamp (NT), gammelgransskål (NT, T), grantaggsvamp (NT), gultoppig fingersvamp (NT), harticka (NT, T), kavernularia (NT), liten svartspik (NT), luddfingersvamp (NT), lunglav (NT, T), nordlig nållav (NT), orange taggsvamp (NT, T), persiljespindling (NT), rosenticka (NT, T), rynkskinn (NT, T), rödbrun klubbdyna (NT), skogsfru (NT, §8), skrovellav (NT, T), småflikig brosklav (NT, T), talltita (NT, §4), tretåig hackspett (NT, T, §4), ullticka (NT, T), vitgrynig nållav (NT), äggvaxskivling (NT), bårdlav (S, T), granriska (S), gytterlav (S, T), kambräken (S, T), korallblylav (S, T), luddlav (S, T), mörk husmossa (S, T), norrlandslav (S, T), skinnlav (S, T), spindelblomster (S, T, §8), strimspindling (S), tibast (S, T), trådfräken (S), tvåblad (S, §8), vedticka (S, T), ögonpyrola (S, T), blåsippa (T, §9), järpe (T, §4)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Fjällfotad musseron (VU)</w:t>
      </w:r>
      <w:r>
        <w:t xml:space="preserve"> bildar mykorrhiza med gran i äldre barrskog på kalkrik mark. Arten är en god indikator på en skyddsvärd miljö och platser där den förekommer bör därför undantas från storskaligt skogsbruk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6128762"/>
            <wp:docPr id="2" name="Picture 2"/>
            <wp:cNvGraphicFramePr>
              <a:graphicFrameLocks noChangeAspect="1"/>
            </wp:cNvGraphicFramePr>
            <a:graphic>
              <a:graphicData uri="http://schemas.openxmlformats.org/drawingml/2006/picture">
                <pic:pic>
                  <pic:nvPicPr>
                    <pic:cNvPr id="0" name="A 67089-2021 karta knärot.png"/>
                    <pic:cNvPicPr/>
                  </pic:nvPicPr>
                  <pic:blipFill>
                    <a:blip r:embed="rId17"/>
                    <a:stretch>
                      <a:fillRect/>
                    </a:stretch>
                  </pic:blipFill>
                  <pic:spPr>
                    <a:xfrm>
                      <a:off x="0" y="0"/>
                      <a:ext cx="5486400" cy="6128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7032666, E 446882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 xml:space="preserve">Taggfingersvamp (VU) </w:t>
      </w:r>
      <w:r>
        <w:t>är knuten till granskogar med långvarig kontinuitet och bildar mykorrhiza med gran på rikare mark. Den totala populationen i landet bedöms ha minskat kraftigt och fortgående att minska, huvudsakligen p.g.a. att arealen örtrik äldre granskog har minskat de senaste 50 åren. Den hotas främst av skogsavverkning och tycks försvinna efter slutavverkning, markberedning och plantering och det saknas uppgifter om fynd i planterad skog eller sekundär granskog uppkommen på kalmark. Taggfingersvamp är placerad högst upp i Skogsstyrelsens värdepyramid för bedömning av skog med höga naturvärden. Områdesskydd är en viktig åtgärd för att bevara artens förekomster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Kavernularia (NT)</w:t>
      </w:r>
      <w:r>
        <w:t xml:space="preserve"> är en rikligt förgrenad bladlav, som på den svarta undersidan har rikligt med karaktäristiska små håligheter, s. k. cavernulae. Den växer på de nedre tunna grenarna av gran i halvöppna gamla granskogar i områden av Jämtland och Åsele Lappmark med ett suboceaniskt klimat. Avverkning av kontinuitetsskogar med hög och jämn luftfuktighet är ett hot. Flera områden med kavernularia måste skyddas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Luddfingersvamp (NT)</w:t>
      </w:r>
      <w:r>
        <w:t xml:space="preserve"> påträffas på mineralrik mark i granskog med mycket hög luftfuktighet, t.ex. vid källflöden, fuktdråg, bäckar eller i anslutning till vattenfall och forsdimma. Arten är mycket uttorkningskänslig och kräver granskogsmiljöer med konstant mycket hög luftfuktighet. Den tål inte en slutavverkning eller någon form av dränering som påverkar växtplatsens hydrologi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klubbdyna (NT)</w:t>
      </w:r>
      <w:r>
        <w:t xml:space="preserve"> är placerad högst upp i Skogsstyrelsens värdepyramid för bedömning av skog med höga naturvärden och indikerar örtrika kalkgranskogar med höga eller mycket höga naturvärden. All form av skogsavverkning eller annan exploatering utgör ett hot och artens växtplatser bör skyddas och lämnas orörda så att en mossrik granskogsmiljö bibehålls (SLU Artdatabanken, 2024; Nitare &amp; Skogsstyrelsen, 2019).</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Småflikig brosklav (NT) </w:t>
      </w:r>
      <w:r>
        <w:t xml:space="preserve">signalerar i hela sitt utbredningsområde skogsbestånd med höga naturvärden. Den indikerar hög luftfuktighet och långvarig förekomst av asp. Småflikig brosklav är typisk art för </w:t>
      </w:r>
      <w:r>
        <w:rPr>
          <w:i/>
        </w:rPr>
        <w:t>9010 Taiga</w:t>
      </w:r>
      <w:r>
        <w:t xml:space="preserve"> (Nitare &amp; Skogsstyrelsen, 2019;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knärot (VU, T, §8), doftskinn (NT, T), dofttaggsvamp (NT, T), gammelgransskål (NT, T), harticka (NT, T), lunglav (NT, T), orange taggsvamp (NT, T), rosenticka (NT, T), rynkskinn (NT, T), skrovellav (NT, T), småflikig brosklav (NT, T), tretåig hackspett (NT, T, §4), ullticka (NT, T), bårdlav (S, T), gytterlav (S, T), kambräken (S, T), korallblylav (S, T), luddlav (S, T), mörk husmossa (S, T), norrlandslav (S, T), skinnlav (S, T), spindelblomster (S, T, §8), tibast (S, T), vedticka (S, T), ögonpyrola (S, T), blåsippa (T, §9),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