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57211-2025 i Krokoms kommun</w:t>
      </w:r>
    </w:p>
    <w:p>
      <w:r>
        <w:t>Detta dokument behandlar höga naturvärden i avverkningsanmälan A 57211-2025 i Krokoms kommun som inkom 2025-11-18 och omfattar 31,0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14 naturvårdsarter hittats: garnlav (VU, T), gammelgransskål (NT, T), liten svartspik (NT), skrovellav (NT, T), tretåig hackspett (NT, T, §4), ullticka (NT, T), vitgrynig nållav (NT), blodticka (S, T), korallblylav (S, T), luddlav (S, T), stuplav (S, T), trådticka (S, T), vedticka (S, T) och järpe (T, §4). Av dessa är 7 rödlistade. För rödlistade arter har rödlistekategorin angivits inom parentes. Arter som är signalarter enligt Skogsstyrelsen har markerats med (S). Typiska arter inom Natura 2000 som är kopplade till skogsekosystem har markerats med (T). För fridlysta arter anges även paragrafen i Artskyddsförordningen som arten är fridlyst enligt.</w:t>
      </w:r>
    </w:p>
    <w:p>
      <w:r>
        <w:t>De påträffade naturvårdsarterna är ett tydligt kvitto på att det rör sig om en skog med höga naturvärden.</w:t>
      </w:r>
      <w:r>
        <w:t xml:space="preserve"> I Figur 1 visas fyndplatser för naturvårdsarter i området, som finns registrerade på Artportalen.</w:t>
      </w:r>
    </w:p>
    <w:p>
      <w:pPr>
        <w:pStyle w:val="Caption"/>
      </w:pPr>
      <w:r>
        <w:drawing>
          <wp:inline xmlns:a="http://schemas.openxmlformats.org/drawingml/2006/main" xmlns:pic="http://schemas.openxmlformats.org/drawingml/2006/picture">
            <wp:extent cx="5268008" cy="5688000"/>
            <wp:docPr id="1" name="Picture 1"/>
            <wp:cNvGraphicFramePr>
              <a:graphicFrameLocks noChangeAspect="1"/>
            </wp:cNvGraphicFramePr>
            <a:graphic>
              <a:graphicData uri="http://schemas.openxmlformats.org/drawingml/2006/picture">
                <pic:pic>
                  <pic:nvPicPr>
                    <pic:cNvPr id="0" name="A 57211-2025 karta.png"/>
                    <pic:cNvPicPr/>
                  </pic:nvPicPr>
                  <pic:blipFill>
                    <a:blip r:embed="rId16"/>
                    <a:stretch>
                      <a:fillRect/>
                    </a:stretch>
                  </pic:blipFill>
                  <pic:spPr>
                    <a:xfrm>
                      <a:off x="0" y="0"/>
                      <a:ext cx="5268008" cy="5688000"/>
                    </a:xfrm>
                    <a:prstGeom prst="rect"/>
                  </pic:spPr>
                </pic:pic>
              </a:graphicData>
            </a:graphic>
          </wp:inline>
        </w:drawing>
      </w:r>
    </w:p>
    <w:p>
      <w:pPr>
        <w:pStyle w:val="Caption"/>
        <w:spacing w:after="240"/>
      </w:pPr>
      <w:r>
        <w:t>Figur 1. Fyndplatser för naturvårdsarter i avverkningsanmälan (röd linje). Markörer utan svart kant är placerade på fyndplatsen. Markörer med svart kant är placerade vid sidan av fyndplatsen och har ett svart streck som visar fyndplatsens exakta position. Kartans mittpunktskoordinat är N 7055037, E 467873 i SWEREF 99 TM.</w:t>
      </w:r>
    </w:p>
    <w:p>
      <w:pPr>
        <w:pStyle w:val="Heading2"/>
      </w:pPr>
      <w:r>
        <w:t>Fridlysta arter</w:t>
      </w:r>
    </w:p>
    <w:p>
      <w:r>
        <w:t>Följande fridlysta arter har sina livsmiljöer och växtplatser i den avverkningsanmälda skogen: tretåig hackspett (NT, T, §4) och järpe (T,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2"/>
      </w:pPr>
      <w:r>
        <w:t>Övriga naturvårdsarter</w:t>
      </w:r>
    </w:p>
    <w:p>
      <w:r>
        <w:rPr>
          <w:b/>
        </w:rPr>
        <w:t xml:space="preserve">Blodticka </w:t>
      </w:r>
      <w:r>
        <w:t xml:space="preserve">är i norra Sverige främst knuten till grova granlågor i urskogsartad barrskog, men förekommer ibland även på klenare granar i anslutning till bäckar och sumpskogar. Den är en bra indikator på granskogar med höga naturvärden och oftast förekommer den tillsammans med ett stort antal ovanliga och rödlistade arter. I södra Sverige växer den framför allt på tall och har då ett lägre signalvärde. Blodticka är typisk art för </w:t>
      </w:r>
      <w:r>
        <w:rPr>
          <w:i/>
        </w:rPr>
        <w:t>9030 Landhöjningsskog</w:t>
      </w:r>
      <w:r>
        <w:t xml:space="preserve"> (SLU Artdatabanken, 2025;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Gammelgransskål är typisk art för </w:t>
      </w:r>
      <w:r>
        <w:rPr>
          <w:i/>
        </w:rPr>
        <w:t>9010 Taiga</w:t>
      </w:r>
      <w:r>
        <w:t xml:space="preserve"> (SLU Artdatabanken, 2024; Nitare &amp; Skogsstyrelsen, 2019).</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Korallblylav</w:t>
      </w:r>
      <w:r>
        <w:t xml:space="preserve"> växer på bark av asp, ask, rönn, sälg, bok och lönn och signalerar överallt skogsbestånd med höga naturvärden och den följs nästan alltid av andra ovanliga och rödlistade arter. Den indikerar hög och jämn luftfuktighet och växer främst i områden med lång skoglig kontinuitet där det funnits ett ständigt inslag av gamla lövträd. Korallblylav är typisk art för </w:t>
      </w:r>
      <w:r>
        <w:rPr>
          <w:i/>
        </w:rPr>
        <w:t xml:space="preserve">9020 Nordlig ädellövskog, 9070 Trädklädd betesmark, 9160 Näringsrik ekskog, 9180 Ädellövskog i branter </w:t>
      </w:r>
      <w:r>
        <w:t>och</w:t>
      </w:r>
      <w:r>
        <w:rPr>
          <w:i/>
        </w:rPr>
        <w:t xml:space="preserve"> 9190 Näringsfattig ekskog</w:t>
      </w:r>
      <w:r>
        <w:t xml:space="preserve"> (SLU Artdatabanken, 2024; Nitare &amp; Skogsstyrelsen, 2019).</w:t>
      </w:r>
    </w:p>
    <w:p>
      <w:r>
        <w:rPr>
          <w:b/>
        </w:rPr>
        <w:t>Liten svartspik (NT)</w:t>
      </w:r>
      <w:r>
        <w:t xml:space="preserve"> växer på granbark i boreala barrskogar med lång trädkontinuitet och hög luftfuktighet. Orsaken till tillbakagången beror på främst på slutavverkningar av naturskogsartade granskogar. Bestånd med riklig förekomst av liten svartspik bör regelmässigt sparas. Naturhänsyn i samband med slutavverkning måste ske så att man undviker uttorkningseffekter (SLU Artdatabanken, 2024).</w:t>
      </w:r>
    </w:p>
    <w:p>
      <w:r>
        <w:rPr>
          <w:b/>
        </w:rPr>
        <w:t>Luddlav</w:t>
      </w:r>
      <w:r>
        <w:t xml:space="preserve"> signalerar lång skoglig kontinuitet med ett stabilt lokal- och mikroklimat med hög och jämn fuktighet. Luddlav är typisk art för </w:t>
      </w:r>
      <w:r>
        <w:rPr>
          <w:i/>
        </w:rPr>
        <w:t>9010 Taiga,</w:t>
      </w:r>
      <w:r>
        <w:t xml:space="preserve"> </w:t>
      </w:r>
      <w:r>
        <w:rPr>
          <w:i/>
        </w:rPr>
        <w:t xml:space="preserve">9020 Nordlig ädellövskog, 9070 Trädklädd betesmark, 9110 Näringsfattig bokskog, 9180 Ädellövskog i branter </w:t>
      </w:r>
      <w:r>
        <w:t>och</w:t>
      </w:r>
      <w:r>
        <w:rPr>
          <w:i/>
        </w:rPr>
        <w:t xml:space="preserve"> 9190 Näringsfattig ekskog </w:t>
      </w:r>
      <w:r>
        <w:t>(Nitare &amp; Skogsstyrelsen, 2019; SLU Artdatabanken, 2025).</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de sällsynta parasitsvamparna skrovellavsknapp (EN), </w:t>
      </w:r>
      <w:r>
        <w:rPr>
          <w:i/>
        </w:rPr>
        <w:t>Catillaria lobariicola</w:t>
      </w:r>
      <w:r>
        <w:t xml:space="preserve"> (VU) och </w:t>
      </w:r>
      <w:r>
        <w:rPr>
          <w:i/>
        </w:rPr>
        <w:t>Merismatium lobariae</w:t>
      </w:r>
      <w:r>
        <w:t xml:space="preserve"> (DD). Skrovellav är typisk art för </w:t>
      </w:r>
      <w:r>
        <w:rPr>
          <w:i/>
        </w:rPr>
        <w:t xml:space="preserve">9010 Taiga, 9020 Nordlig ädellövskog, 9040 Fjällbjörkskog, 9070 Trädklädd betesmark, 9160 Näringsrik ekskog, 9180 Ädellövskog i branter, 9190 Näringsfattig ekskog, 8210 Kalkbranter </w:t>
      </w:r>
      <w:r>
        <w:t xml:space="preserve">och </w:t>
      </w:r>
      <w:r>
        <w:rPr>
          <w:i/>
        </w:rPr>
        <w:t>6530 Lövängar</w:t>
      </w:r>
      <w:r>
        <w:t xml:space="preserve"> (SLU Artdatabanken, 2026;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Ytterligare tre sällsynta lavparasiter, </w:t>
      </w:r>
      <w:r>
        <w:rPr>
          <w:i/>
        </w:rPr>
        <w:t>Protounguicularia nephromatis</w:t>
      </w:r>
      <w:r>
        <w:t xml:space="preserve"> (VU), </w:t>
      </w:r>
      <w:r>
        <w:rPr>
          <w:i/>
        </w:rPr>
        <w:t>Refractohilum galligenum</w:t>
      </w:r>
      <w:r>
        <w:t xml:space="preserve"> (NT) och </w:t>
      </w:r>
      <w:r>
        <w:rPr>
          <w:i/>
        </w:rPr>
        <w:t>Roselliniella nephromatis</w:t>
      </w:r>
      <w:r>
        <w:t xml:space="preserve"> (DD), kan också påträffas på stuplav. Stuplav är typisk art för </w:t>
      </w:r>
      <w:r>
        <w:rPr>
          <w:i/>
        </w:rPr>
        <w:t>9010 Taiga</w:t>
      </w:r>
      <w:r>
        <w:t xml:space="preserve"> (SLU Artdatabanken, 2026; Nitare &amp; Skogsstyrelsen, 2019).</w:t>
      </w:r>
    </w:p>
    <w:p>
      <w:r>
        <w:rPr>
          <w:b/>
        </w:rPr>
        <w:t xml:space="preserve">Trådticka </w:t>
      </w:r>
      <w:r>
        <w:t xml:space="preserve">är knuten till grova granar i rikare ofta fuktiga miljöer. Den återfinns på både levande och döda träd samt stubbar och nyligen fallna träd. Karaktärsart för äldre fuktiga granskogsbiotoper, och i stor mängd är den en bra signalart för miljöer med andra rödlistade arter. Trådticka är typisk art för </w:t>
      </w:r>
      <w:r>
        <w:rPr>
          <w:i/>
        </w:rPr>
        <w:t xml:space="preserve">9010 Taiga </w:t>
      </w:r>
      <w:r>
        <w:t xml:space="preserve">och </w:t>
      </w:r>
      <w:r>
        <w:rPr>
          <w:i/>
        </w:rPr>
        <w:t xml:space="preserve">9050 Näringsrik granskog </w:t>
      </w:r>
      <w:r>
        <w:t>(SLU Artdatabanken, 2025).</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14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