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48914-2021 i Krokoms kommun</w:t>
      </w:r>
    </w:p>
    <w:p>
      <w:r>
        <w:t>Denna tillsynsbegäran behandlar höga naturvärden i avverkningsanmälan A 48914-2021 i Krokoms kommun som inkom 2021-09-13 och omfattar 20,4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26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1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2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7107008, E 460820 i SWEREF 99 TM.</w:t>
      </w:r>
    </w:p>
    <w:p>
      <w:r>
        <w:t>I avverkningsanmälan finns fynd av 4 naturvårdsarter, varav 2 är rödlistade, 1 är fridlyst, 4 är typiska (T) och 2 är signalarter (S): brunpudrad nållav (NT, T), rödbrun blekspik (NT, T), gulnål (S, T)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>Rödbrun blekspik (NT)</w:t>
      </w:r>
      <w:r>
        <w:t xml:space="preserve"> växer i norra Sverige på bark och ved av björk och gran i skogar med hög och jämn luftfuktighet. I södra Sverige växer den främst på ek i öppna åldriga lövskogar. I norra delen av sitt utbredningsområde hotas arten av slutavverkningar av gamla granskogar. I den södra delen av landet hotas den genom de åldriga lövskogarnas tillbakagång och särskilt ekhagarnas igenväxning och genom plantering av sådan mark med barrskog. Rödbrun blekspik är typisk art för </w:t>
      </w:r>
      <w:r>
        <w:rPr>
          <w:i/>
        </w:rPr>
        <w:t xml:space="preserve">9010 Taiga, 9020 Nordlig ädellövskog, 9070 Trädklädd betesmark, 9160 Näringsrik ekskog </w:t>
      </w:r>
      <w:r>
        <w:t xml:space="preserve">och </w:t>
      </w:r>
      <w:r>
        <w:rPr>
          <w:i/>
        </w:rPr>
        <w:t>9180 Ädellövskog i branter</w:t>
      </w:r>
      <w:r>
        <w:t xml:space="preserve"> och signalerar alltid höga naturvärden (SLU Artdatabanken, 2024; Nitare &amp; Skogsstyrelsen, 2019).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