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4331-2025 i Krokoms kommun</w:t>
      </w:r>
    </w:p>
    <w:p>
      <w:r>
        <w:t>Detta dokument behandlar höga naturvärden i avverkningsanmälan A 4331-2025 i Krokoms kommun. Denna avverkningsanmälan inkom 2025-01-28 18:54:23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gytterlav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89543"/>
            <wp:docPr id="1" name="Picture 1"/>
            <wp:cNvGraphicFramePr>
              <a:graphicFrameLocks noChangeAspect="1"/>
            </wp:cNvGraphicFramePr>
            <a:graphic>
              <a:graphicData uri="http://schemas.openxmlformats.org/drawingml/2006/picture">
                <pic:pic>
                  <pic:nvPicPr>
                    <pic:cNvPr id="0" name="A 4331-2025 karta.png"/>
                    <pic:cNvPicPr/>
                  </pic:nvPicPr>
                  <pic:blipFill>
                    <a:blip r:embed="rId16"/>
                    <a:stretch>
                      <a:fillRect/>
                    </a:stretch>
                  </pic:blipFill>
                  <pic:spPr>
                    <a:xfrm>
                      <a:off x="0" y="0"/>
                      <a:ext cx="5486400" cy="3989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7060496, E 482161 i SWEREF 99 TM.</w:t>
      </w:r>
    </w:p>
    <w:p>
      <w:r>
        <w:rPr>
          <w:b/>
        </w:rPr>
        <w:t xml:space="preserve">Gytterlav </w:t>
      </w:r>
      <w:r>
        <w:t xml:space="preserve">signalerar höga naturvärden i södra och mellersta Sverige, samt längs Norrlands kustland. Förekomster i söder, framför allt på trädstammar, är en indikation på gammal skogsmark med långvarig förekomst av äldre lövträd i miljöer med hög och jämn luftfuktighet. Gytterlav är typisk art för </w:t>
      </w:r>
      <w:r>
        <w:rPr>
          <w:i/>
        </w:rPr>
        <w:t xml:space="preserve">9040 Fjällbjörkskog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