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284-2024 i Krokoms kommun</w:t>
      </w:r>
    </w:p>
    <w:p>
      <w:r>
        <w:t>Detta dokument behandlar höga naturvärden i avverkningsanmälan A 284-2024 i Krokoms kommun. Denna avverkningsanmälan inkom 2024-01-04 och omfattar 11,1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17 naturvårdsarter hittats: norsk näverlav (VU), ostticka (VU), doftskinn (NT), gammelgransskål (NT), granticka (NT), gränsticka (NT), harticka (NT), lunglav (NT), mjölig dropplav (NT), rosenticka (NT), stjärntagging (NT), violettgrå tagellav (NT), vitgrynig nållav (NT), vitskaftad svartspik (NT), bårdlav (S), plattlummer (S, §9) och vedticka (S). Av dessa är 14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51755"/>
            <wp:docPr id="1" name="Picture 1"/>
            <wp:cNvGraphicFramePr>
              <a:graphicFrameLocks noChangeAspect="1"/>
            </wp:cNvGraphicFramePr>
            <a:graphic>
              <a:graphicData uri="http://schemas.openxmlformats.org/drawingml/2006/picture">
                <pic:pic>
                  <pic:nvPicPr>
                    <pic:cNvPr id="0" name="A 284-2024 karta.png"/>
                    <pic:cNvPicPr/>
                  </pic:nvPicPr>
                  <pic:blipFill>
                    <a:blip r:embed="rId16"/>
                    <a:stretch>
                      <a:fillRect/>
                    </a:stretch>
                  </pic:blipFill>
                  <pic:spPr>
                    <a:xfrm>
                      <a:off x="0" y="0"/>
                      <a:ext cx="5486400" cy="37517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7043433, E 453535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Mjölig dropplav (NT)</w:t>
      </w:r>
      <w:r>
        <w:t xml:space="preserve"> växer på gamla granar i boreala granskogar med lång trädkontinuitet och hög luftfuktighet. Avverkning liksom även kraftig utglesning av skog på eller i omedelbar närhet av lokalerna utgör ett hot. Bördiga sumpgranskogar med hög och jämn luftfuktighet bör inte avverkas (SLU Artdatabanken, 2024).</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r>
        <w:rPr>
          <w:b/>
        </w:rPr>
        <w:t xml:space="preserve">Ostticka (VU) </w:t>
      </w:r>
      <w:r>
        <w:t>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Vitskaftad svartspik (NT)</w:t>
      </w:r>
      <w:r>
        <w:t xml:space="preserve"> förekommer främst i naturskog på gamla senvuxna granar och signalerar alltid höga naturvärden. Alla skogliga åtgärder som kan påverka markvatten och luftfuktighet på i närheten av lokaler utgör ett hot. Avverkning av naturskogar utgör ett allvarligt hot och alla skogsskötselåtgärder på eller i närheten av växtplatserna bör undvikas. Lämpligt stora reservat av naturskogstyp bör bevaras (SLU Artdatabanken, 2024; Nitare &amp; Skogsstyrelsen, 2019).</w:t>
      </w:r>
    </w:p>
    <w:p>
      <w:pPr>
        <w:pStyle w:val="Heading1"/>
      </w:pPr>
      <w:r>
        <w:t>Fridlysta arter</w:t>
      </w:r>
    </w:p>
    <w:p>
      <w:r>
        <w:t>Följande fridlysta arter har sina livsmiljöer och växtplatser i den avverkningsanmälda skogen: plattlummer (S, §9).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