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40068-2025 i Krokoms kommun</w:t>
      </w:r>
    </w:p>
    <w:p>
      <w:r>
        <w:t>Detta dokument behandlar höga naturvärden i avverkningsanmälan A 40068-2025 i Krokoms kommun. Denna avverkningsanmälan inkom 2025-08-25 00:00:00 och omfattar 22,8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rynkskinn (VU), skuggnål (VU), smalskaftslav (VU), brunpudrad nållav (NT), doftskinn (NT), gammelgransskål (NT), garnlav (NT), granticka (NT), gränsticka (NT), harticka (NT), järpe (NT, §4), Leptoporus mollis (NT), liten svartspik (NT), lunglav (NT), puderspindling (NT), rosenticka (NT), skrovellav (NT), stjärntagging (NT), talltita (NT, §4), tretåig hackspett (NT, §4), ullticka (NT), skarp dropptaggsvamp (S) och trådticka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95601"/>
            <wp:docPr id="1" name="Picture 1"/>
            <wp:cNvGraphicFramePr>
              <a:graphicFrameLocks noChangeAspect="1"/>
            </wp:cNvGraphicFramePr>
            <a:graphic>
              <a:graphicData uri="http://schemas.openxmlformats.org/drawingml/2006/picture">
                <pic:pic>
                  <pic:nvPicPr>
                    <pic:cNvPr id="0" name="A 40068-2025 karta.png"/>
                    <pic:cNvPicPr/>
                  </pic:nvPicPr>
                  <pic:blipFill>
                    <a:blip r:embed="rId16"/>
                    <a:stretch>
                      <a:fillRect/>
                    </a:stretch>
                  </pic:blipFill>
                  <pic:spPr>
                    <a:xfrm>
                      <a:off x="0" y="0"/>
                      <a:ext cx="5486400" cy="2795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7051176, E 426274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i/>
        </w:rPr>
        <w:t xml:space="preserve">Leptoporus mollis </w:t>
      </w:r>
      <w:r>
        <w:rPr>
          <w:b/>
        </w:rPr>
        <w:t>(NT)</w:t>
      </w:r>
      <w:r>
        <w:t xml:space="preserve"> är granens kötticka och har klassificerats som ”gammelskogsindikator”, då den förekommer med ett tydligt optimum i äldre barrskogar, främst fuktiga granskogar. Den har högst signalvärde söder om den naturliga norrlandsgränsen </w:t>
      </w:r>
      <w:r>
        <w:rPr>
          <w:i/>
        </w:rPr>
        <w:t>limes norrlandicus</w:t>
      </w:r>
      <w:r>
        <w:t>, men signalerar vanligtvis höga naturvärden även i Norrland. Arten är knuten till miljöer med konstant luftfuktighet och känslig för uttorkning som en avverkning kan medföra. Den totala populationen bedöms därför ha minskat under de senaste 30 åren och fortsätter att minska i takt med att grankontinuitetsskogar (skogar som inte kalavverkats) minskar i areal, samtidigt som att lämpliga miljöer inte återskapas i samma takt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Smalskaftslav (VU)</w:t>
      </w:r>
      <w:r>
        <w:t>, rödlistad som sårbar, påträffas i gamla barrskogar eller lövskogar med mycket hög och jämn luftfuktighet. Arten är placerad i toppen av Skogsstyrelsens värdepyramid för bedömning av skog med höga naturvärden och alla skogsbruksåtgärder som kan påverka hydrologi och fuktighetsförhållandena på eller i omedelbar närhet av växtplatserna, t.ex. utglesning eller slutavverkning, är ett hot. Samtliga förekomster bör skyddas tillsammans med väl tilltagna skyddszoner (Nitare &amp; Skogsstyrelsen, 2019;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järpe (NT, §4),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som är rödlistad som nära hotad och upptagen i bilaga 1 och 2 EU:s fågeldirektiv,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upptagen i bilaga 1 och 2 EU:s fågeldirektiv.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 (SLU Artdatabanken, 2022).</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Minskningstakten för den svenska populationen bedöms vara nära gränsvärdet för Sårbar (VU). (A2b)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