
<file path=[Content_Types].xml><?xml version="1.0" encoding="utf-8"?>
<Types xmlns="http://schemas.openxmlformats.org/package/2006/content-types">
  <Default Extension="jpeg" ContentType="image/jpeg"/>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endnotes.xml" ContentType="application/vnd.openxmlformats-officedocument.wordprocessingml.endnotes+xml"/>
  <Override PartName="/word/fontTable.xml" ContentType="application/vnd.openxmlformats-officedocument.wordprocessingml.fontTable+xml"/>
  <Override PartName="/word/footer1.xml" ContentType="application/vnd.openxmlformats-officedocument.wordprocessingml.footer+xml"/>
  <Override PartName="/word/footer2.xml" ContentType="application/vnd.openxmlformats-officedocument.wordprocessingml.footer+xml"/>
  <Override PartName="/word/footer3.xml" ContentType="application/vnd.openxmlformats-officedocument.wordprocessingml.footer+xml"/>
  <Override PartName="/word/footnotes.xml" ContentType="application/vnd.openxmlformats-officedocument.wordprocessingml.footnotes+xml"/>
  <Override PartName="/word/header1.xml" ContentType="application/vnd.openxmlformats-officedocument.wordprocessingml.header+xml"/>
  <Override PartName="/word/header2.xml" ContentType="application/vnd.openxmlformats-officedocument.wordprocessingml.header+xml"/>
  <Override PartName="/word/header3.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pPr>
        <w:pStyle w:val="Title"/>
      </w:pPr>
      <w:r>
        <w:t>Tillsynsbegäran – information om höga naturvärden och fridlysta arter i avverkningsanmälan A 30590-2026 i Krokoms kommun</w:t>
      </w:r>
    </w:p>
    <w:p>
      <w:r>
        <w:t>Denna tillsynsbegäran behandlar höga naturvärden i avverkningsanmälan A 30590-2026 i Krokoms kommun som inkom 2026-07-07 och omfattar 3,3 ha.</w:t>
      </w:r>
    </w:p>
    <w:p>
      <w:pPr>
        <w:pStyle w:val="Caption"/>
      </w:pPr>
      <w:r>
        <w:drawing>
          <wp:inline xmlns:a="http://schemas.openxmlformats.org/drawingml/2006/main" xmlns:pic="http://schemas.openxmlformats.org/drawingml/2006/picture">
            <wp:extent cx="5391575" cy="5724000"/>
            <wp:docPr id="1" name="Picture 1"/>
            <wp:cNvGraphicFramePr>
              <a:graphicFrameLocks noChangeAspect="1"/>
            </wp:cNvGraphicFramePr>
            <a:graphic>
              <a:graphicData uri="http://schemas.openxmlformats.org/drawingml/2006/picture">
                <pic:pic>
                  <pic:nvPicPr>
                    <pic:cNvPr id="0" name="A 30590-2026 karta.png"/>
                    <pic:cNvPicPr/>
                  </pic:nvPicPr>
                  <pic:blipFill>
                    <a:blip r:embed="rId16"/>
                    <a:stretch>
                      <a:fillRect/>
                    </a:stretch>
                  </pic:blipFill>
                  <pic:spPr>
                    <a:xfrm>
                      <a:off x="0" y="0"/>
                      <a:ext cx="5391575" cy="5724000"/>
                    </a:xfrm>
                    <a:prstGeom prst="rect"/>
                  </pic:spPr>
                </pic:pic>
              </a:graphicData>
            </a:graphic>
          </wp:inline>
        </w:drawing>
      </w:r>
    </w:p>
    <w:p>
      <w:pPr>
        <w:pStyle w:val="Caption"/>
        <w:spacing w:after="240"/>
      </w:pPr>
      <w:r>
        <w:t>Figur 1. Fyndplatser för naturvårdsarter i och inom 25 meter från avverkningsanmälan. Markörer utan svart kant är placerade på fyndplatsen. Markörer med svart kant är placerade vid sidan av fyndplatsen och har ett svart streck som visar fyndplatsens exakta position. Kartans mittpunktskoordinat är N 7037237, E 445773 i SWEREF 99 TM.</w:t>
      </w:r>
    </w:p>
    <w:p>
      <w:r>
        <w:t>I och inom 25 meter från avverkningsanmälan finns fynd av 10 naturvårdsarter, varav 5 är rödlistade, 3 är fridlysta, 9 är typiska (T) och 3 är signalarter (S): garnlav (VU, T), harticka (NT, T), lunglav (NT, T), tretåig hackspett (NT, T, §4), äggvaxskivling (NT), finbräken (S, T), kransrams (S, T), spindelblomster (S, T, §8), blåsippa (T, §9) och torta (T). Se Figur 1.</w:t>
      </w:r>
    </w:p>
    <w:p>
      <w:pPr>
        <w:pStyle w:val="Heading1"/>
      </w:pPr>
      <w:r>
        <w:t>Tillsynsbegäran</w:t>
      </w:r>
    </w:p>
    <w:p>
      <w:r>
        <w:t>Vi begär härmed att Skogsstyrelsen fattar beslut enligt miljöbalken som säkerställer att skogens höga naturvärden bevaras samt att EU-lagstiftning efterlevs och att artskyddsbrott förhindras.</w:t>
      </w:r>
    </w:p>
    <w:p>
      <w:r>
        <w:t>Vi begär vidare att Skogsstyrelsen säkerställer att inga skador eller försämringar av naturtypens bevarandestatus i området tillåts ske. Se Rådets direktiv 92/43/EEG samt ickeförsämringskravet i EU:s naturrestaureringsförordning (EU 2024/1991).</w:t>
      </w:r>
    </w:p>
    <w:p>
      <w:r>
        <w:t>Vi önskar även ta del av de ställningstaganden och beslut som myndigheten meddelar till följd av aktuell avverkningsanmälan och föreningens inlaga (se 34 § förvaltningslagen).</w:t>
      </w:r>
    </w:p>
    <w:p>
      <w:pPr>
        <w:pStyle w:val="Heading1"/>
      </w:pPr>
      <w:r>
        <w:t>Naturvårdsarter och fridlysta arter</w:t>
      </w:r>
    </w:p>
    <w:p>
      <w:r>
        <w:t>Nedan följer beskrivningar av de naturvårdsarter och fridlysta arter som har sina livsmiljöer och växtplatser i den avverkningsanmälda skogen. Se även ytterligare artfakta i BILAGA 1. De påträffade naturvårdsarterna är ett tydligt kvitto på att det rör sig om en skog med höga naturvärden.</w:t>
      </w:r>
    </w:p>
    <w:p>
      <w:r>
        <w:rPr>
          <w:b/>
        </w:rPr>
        <w:t>Garnlav (VU)</w:t>
      </w:r>
      <w:r>
        <w:t xml:space="preserve"> är en utpräglad barrskogsart som ibland kan drapera träden i norrländska grannaturskogar med hög luftfuktighet. Den förekommer även i talldominerade bestånd där den, förutom i trädens grenverk, påträffas hängande över ojämnheter i tallbarken. Arten har minskat starkt i södra och mellersta Sverige och den minskar även i sitt nordliga utbredningsområde. Minskningstakten uppgår till 30 (20–50) % inom 50 år och överstiger gränsvärdet för Sårbar (VU). Orsaken till tillbakagången beror främst på slutavverkningar av naturskogsartade skogar. Bestånd med riklig förekomst bör regelmässigt sparas, vilket även gynnar flera andra sällsynta och rödlistade arter. Garnlav är värdväxt för den mycket sällsynta och akut hotade fjärilen barrskogslavfly (CR) som hör hemma i boreala barrskogar med riklig förekomst av värdväxten. Tidigare kunde arten konstateras årligen på flera platser vid Dala-Floda i Dalarna innan lokalerna kalavverkades. Senaste fyndet i landet av barrskogslavfly är från år 2000 då den påträffades vid Högberget i Sollefteå kommun. Garnlav är typisk art för </w:t>
      </w:r>
      <w:r>
        <w:rPr>
          <w:i/>
        </w:rPr>
        <w:t xml:space="preserve">9010 Taiga </w:t>
      </w:r>
      <w:r>
        <w:t>och</w:t>
      </w:r>
      <w:r>
        <w:rPr>
          <w:i/>
        </w:rPr>
        <w:t xml:space="preserve"> 9070 Trädklädd betesmark</w:t>
      </w:r>
      <w:r>
        <w:t xml:space="preserve"> (SLU Artdatabanken, 2026).</w:t>
      </w:r>
    </w:p>
    <w:p>
      <w:r>
        <w:rPr>
          <w:b/>
        </w:rPr>
        <w:t>Harticka (NT)</w:t>
      </w:r>
      <w:r>
        <w:t xml:space="preserve"> är normalt en mycket bra signalart för granskogar med höga naturvärden. Även när svampen påträffas i mer påverkade skogar är det nästan alltid fråga om skogsmiljöer i sena successionsstadier med höga naturvärden. Skogsskötselåtgärder på eller i omedelbar närhet av växtplatserna kan innebära ett hot mot arten. Harticka är typisk art för </w:t>
      </w:r>
      <w:r>
        <w:rPr>
          <w:i/>
        </w:rPr>
        <w:t xml:space="preserve">9010 Taiga, 9050 Näringsrik granskog </w:t>
      </w:r>
      <w:r>
        <w:t xml:space="preserve">och </w:t>
      </w:r>
      <w:r>
        <w:rPr>
          <w:i/>
        </w:rPr>
        <w:t>9030 Landhöjningsskog</w:t>
      </w:r>
      <w:r>
        <w:t xml:space="preserve"> (SLU Artdatabanken, 2024; Nitare &amp; Skogsstyrelsen, 2019).</w:t>
      </w:r>
    </w:p>
    <w:p>
      <w:r>
        <w:rPr>
          <w:b/>
        </w:rPr>
        <w:t>Lunglav (NT)</w:t>
      </w:r>
      <w:r>
        <w:t xml:space="preserve"> är en av vårt lands främsta signalarter som överallt indikerar gamla lövträd, skogsbestånd med höga naturvärden och ekosystem med långskoglig kontinuitet. Lokalt kan förekomsten vara mycket riklig men den hittas nästan enbart i gamla och ej slutavverkade skogar. Artens samtliga förekomster bör uppmärksammas från naturvårdssynpunkt, då många lokaler även hyser andra ovanliga och rödlistade arter. Rikliga förekomster bör skyddas med biotopskydd, frivilliga avsättningar eller reservat. På lunglav kan de sällsynta lavparasiterna lunglavshårprick (CR), </w:t>
      </w:r>
      <w:r>
        <w:rPr>
          <w:i/>
        </w:rPr>
        <w:t>Abrothallus diederichii</w:t>
      </w:r>
      <w:r>
        <w:t xml:space="preserve"> (VU), </w:t>
      </w:r>
      <w:r>
        <w:rPr>
          <w:i/>
        </w:rPr>
        <w:t>Abrothallus lobariae</w:t>
      </w:r>
      <w:r>
        <w:t xml:space="preserve"> (VU), </w:t>
      </w:r>
      <w:r>
        <w:rPr>
          <w:i/>
        </w:rPr>
        <w:t>Calycina lobariae</w:t>
      </w:r>
      <w:r>
        <w:t xml:space="preserve"> (VU), lunglavsknapp (VU) och skrovelmössing (VU) påträffas. Lunglav är typisk art för </w:t>
      </w:r>
      <w:r>
        <w:rPr>
          <w:i/>
        </w:rPr>
        <w:t>9010 Taiga, 9020 Nordlig ädellövskog, 9110 Näringsfattig bokskog, 9130 Näringsrik bokskog, 9160 Näringsrik ekskog, 9180 Ädellövskog i branter, 9190 Näringsfattig ekskog, 9070 Trädklädd betesmark, 9040 Fjällbjörkskog</w:t>
      </w:r>
      <w:r>
        <w:t xml:space="preserve"> och</w:t>
      </w:r>
      <w:r>
        <w:rPr>
          <w:i/>
        </w:rPr>
        <w:t xml:space="preserve"> 6530 Lövängar</w:t>
      </w:r>
      <w:r>
        <w:t xml:space="preserve"> (SLU Artdatabanken, 2026; Nitare &amp; Skogsstyrelsen, 2019).</w:t>
      </w:r>
    </w:p>
    <w:p>
      <w:r>
        <w:rPr>
          <w:b/>
        </w:rPr>
        <w:t>Tretåig hackspett (NT, §4)</w:t>
      </w:r>
      <w:r>
        <w:t xml:space="preserve"> är rödlistad som nära hotad och ingår i bilaga 1 i EU:s fågeldirektiv. Tretåig hackspett är för sin överlevnad beroende av kontinuerlig tillförsel av äldre döende och död ved, som sker genom naturliga självgallringsprocesser i äldre grannaturskogar och barrblandade naturskogar. Om en skog genom skogsbruk gallras eller glesas ur så upphör och uteblir i stort sett den naturliga självgallringsprocessen för mycket lång tid framöver vilket omöjliggör upprätthållandet av den kontinuerliga ekologiska funktionen i ett område. Det finns studier som visar att naturskogens självgallringsprocess som den tretåiga hackspetten är beroende av, inte kan ersättas med efterlämnad hänsyn i skogsbruket (Imbeau &amp; Desrochers, 2002). Storleken på häckningsreviret varierar med skogstypen, förekomsten av död ved och graden av fragmentering, men är i allmänhet i storleksordningen 25–100 hektar. Vintertid krävs ofta betydligt större områden och det finns studier som antyder att arten behöver minst 100 hektar äldre skog. I områden med låg bonitet kan det behövas över 200 hektar lämpligt habitat för att ett par ska kunna reproducera sig. Områden med dokumenterad permanent förekomst i naturskogsmiljöer har vanligen så stora naturvärden att skogsbruk är olämpligt. Tretåig hackspett är typisk art för </w:t>
      </w:r>
      <w:r>
        <w:rPr>
          <w:i/>
        </w:rPr>
        <w:t xml:space="preserve">9010 Taiga, 9740 Skogsbevuxen myr, 9030 Landhöjningsskog </w:t>
      </w:r>
      <w:r>
        <w:t xml:space="preserve">och </w:t>
      </w:r>
      <w:r>
        <w:rPr>
          <w:i/>
        </w:rPr>
        <w:t>9040 Fjällbjörkskog</w:t>
      </w:r>
      <w:r>
        <w:t xml:space="preserve"> (Skogsstyrelsen, 2016; SLU Artdatabanken, 2024).</w:t>
      </w:r>
    </w:p>
    <w:p>
      <w:r>
        <w:rPr>
          <w:b/>
        </w:rPr>
        <w:t>Äggvaxskivling (NT)</w:t>
      </w:r>
      <w:r>
        <w:t xml:space="preserve"> bildar mykorrhiza med gran och förekommer huvudsakligen i äldre blåbärsgranskog. Har i Sverige en nordlig utbredningsbild och är relativt vanlig i norra Sverige. Total population i landet bedöms ha minskat kraftigt och fortgående att minska p.g.a. slutavverkningar av kontinuitetsskogar. Skogar med rik förekomst av äggvaxskivling brukar ha en artrik flora av mykorrhizasvampar och kan betraktas som nyckelbiotoper (SLU Artdatabanken, 2024).</w:t>
      </w:r>
    </w:p>
    <w:p>
      <w:r>
        <w:rPr>
          <w:b/>
        </w:rPr>
        <w:t>Finbräken</w:t>
      </w:r>
      <w:r>
        <w:t xml:space="preserve"> växer på kalkrika marker i frisk eller fuktig mulljord. Den kräver konstant hög luftfuktighet och är mycket känslig för skogsbruksåtgärder. Arten är placerad högst upp i Skogsstyrelsens värdepyramid för bedömning av skog med höga naturvärden och utgör en karaktärsart för de mest skyddsvärda kalkgranskogarna med långvarig ekologisk kontinuitet och högt skyddsvärde. Finbräken är typisk art för </w:t>
      </w:r>
      <w:r>
        <w:rPr>
          <w:i/>
        </w:rPr>
        <w:t xml:space="preserve">9050 Näringsrik granskog </w:t>
      </w:r>
      <w:r>
        <w:t xml:space="preserve">och </w:t>
      </w:r>
      <w:r>
        <w:rPr>
          <w:i/>
        </w:rPr>
        <w:t xml:space="preserve">9040 Fjällbjörkskog </w:t>
      </w:r>
      <w:r>
        <w:t>(SLU Artdatabanken, 2024; Nitare &amp; Skogsstyrelsen, 2019).</w:t>
      </w:r>
    </w:p>
    <w:p>
      <w:r>
        <w:rPr>
          <w:b/>
        </w:rPr>
        <w:t>Kransrams</w:t>
      </w:r>
      <w:r>
        <w:t xml:space="preserve"> är typisk art för </w:t>
      </w:r>
      <w:r>
        <w:rPr>
          <w:i/>
        </w:rPr>
        <w:t xml:space="preserve">9020 Nordlig ädellövskog </w:t>
      </w:r>
      <w:r>
        <w:t>(SLU Artdatabanken, 2025).</w:t>
      </w:r>
    </w:p>
    <w:p>
      <w:r>
        <w:rPr>
          <w:b/>
        </w:rPr>
        <w:t>Spindelblomster (§8)</w:t>
      </w:r>
      <w:r>
        <w:t xml:space="preserve"> växer i äldre mossrik granskog eller barrblandskog, men även i fjällbjörkskog. Arten indikerar långvarig trädkontinuitet och hög luftfuktighet och är mycket känslig för uttorkning och markskador. Spindelblomster har i många trakter minskat starkt under senare tid på grund av slutavverkningar och skogsmarksdikning. Spindelblomster är typisk art för </w:t>
      </w:r>
      <w:r>
        <w:rPr>
          <w:i/>
        </w:rPr>
        <w:t xml:space="preserve">9010 Taiga, 9050 Näringsrik granskog </w:t>
      </w:r>
      <w:r>
        <w:t>och</w:t>
      </w:r>
      <w:r>
        <w:rPr>
          <w:i/>
        </w:rPr>
        <w:t xml:space="preserve"> 9040 Fjällbjörkskog</w:t>
      </w:r>
      <w:r>
        <w:t xml:space="preserve"> (Nitare &amp; Skogsstyrelsen, 2019; SLU Artdatabanken, 2025).</w:t>
      </w:r>
    </w:p>
    <w:p>
      <w:r>
        <w:rPr>
          <w:b/>
        </w:rPr>
        <w:t>Blåsippa (§9)</w:t>
      </w:r>
      <w:r>
        <w:t xml:space="preserve"> är typisk art för </w:t>
      </w:r>
      <w:r>
        <w:rPr>
          <w:i/>
        </w:rPr>
        <w:t>9050 Näringsrik granskog, 9020 Nordlig ädellövskog</w:t>
      </w:r>
      <w:r>
        <w:t xml:space="preserve"> och </w:t>
      </w:r>
      <w:r>
        <w:rPr>
          <w:i/>
        </w:rPr>
        <w:t>8240 Karsthällmarker</w:t>
      </w:r>
      <w:r>
        <w:t xml:space="preserve"> (SLU Artdatabanken, 2025).</w:t>
      </w:r>
    </w:p>
    <w:p>
      <w:r>
        <w:rPr>
          <w:b/>
        </w:rPr>
        <w:t xml:space="preserve">Torta </w:t>
      </w:r>
      <w:r>
        <w:t xml:space="preserve">är typisk art för </w:t>
      </w:r>
      <w:r>
        <w:rPr>
          <w:i/>
        </w:rPr>
        <w:t xml:space="preserve">9050 Näringsrik granskog </w:t>
      </w:r>
      <w:r>
        <w:t xml:space="preserve">och </w:t>
      </w:r>
      <w:r>
        <w:rPr>
          <w:i/>
        </w:rPr>
        <w:t xml:space="preserve">9040 Fjällbjörkskog </w:t>
      </w:r>
      <w:r>
        <w:t>(SLU Artdatabanken, 2025).</w:t>
      </w:r>
    </w:p>
    <w:p>
      <w:pPr>
        <w:pStyle w:val="Heading1"/>
      </w:pPr>
      <w:r>
        <w:t>EU:s fågeldirektiv</w:t>
      </w:r>
    </w:p>
    <w:p>
      <w:r>
        <w:t xml:space="preserve">Europeiska unionens medlemsländer är skyldiga att agera i enlighet med EU:s fågeldirektiv där det uttryckligen står att direktivet gäller för fåglar samt för deras ägg, bon och </w:t>
      </w:r>
      <w:r>
        <w:rPr>
          <w:b/>
        </w:rPr>
        <w:t xml:space="preserve">livsmiljöer </w:t>
      </w:r>
      <w:r>
        <w:t>(artikel 1). Vidare att de åtgärder som vidtas inte får leda till en försämring av den nuvarande situationen beträffande bevarandet av de fågelarter som avses i artikel 1 (artikel 13). Fågeldirektivet är styrande för tillsynsansvariga myndigheters ärendehantering, ställningstaganden och beslutsfattande.</w:t>
      </w:r>
    </w:p>
    <w:p>
      <w:pPr>
        <w:pStyle w:val="Heading1"/>
      </w:pPr>
      <w:r>
        <w:t>Typiska arter och EU:s art- och habitatdirektiv</w:t>
      </w:r>
    </w:p>
    <w:p>
      <w:r>
        <w:t>Typiska arter används för att lokalisera områden med gynnsam bevarandestatus för de naturtyper som är listade i EU:s art- och habitatdirektiv. Ett exempel är Västlig taiga (EU-kod 9010) som saknar gynnsam bevarandestatus och minskar starkt som naturtyp i Sverige. Naturvårdsverket skriver i sin vägledning för Västlig taiga att dylika miljöer förutsätter normalt att skogarna skyddas långsiktigt, eftersom skogsbruk inte är förenligt med bevarande av naturtypen i gynnsamt tillstånd (Naturvårdsverket, 2011).</w:t>
      </w:r>
    </w:p>
    <w:p>
      <w:r>
        <w:t>Följande typiska arter har sina livsmiljöer och växtplatser i den avverkningsanmälda skogen: garnlav (VU, T), harticka (NT, T), lunglav (NT, T), tretåig hackspett (NT, T, §4), finbräken (S, T), kransrams (S, T), spindelblomster (S, T, §8), blåsippa (T, §9) och torta (T).</w:t>
      </w:r>
    </w:p>
    <w:p>
      <w:r>
        <w:t>Enligt Sveriges Artikel 17 rapportering 2013 och 2019 till EU, har naturtypen Västlig taiga (9010) dålig bevarandestatus med negativ trend inom Sveriges boreala region. Skogsbruksåtgärder som avverkning, röjning och gallring pekas ut som några av de främst bidragande orsakerna till naturtypens dåliga status och negativa trend (SLU Artdatabanken, 2019). I EU:s uppföljning av tillståndet för naturtyperna i Skandinavien 2013 – 2018 framgår det att i den boreala regionen är tillståndet så dåligt för Västlig taiga (9010) att habitatet löper allvarlig risk att försvinna regionalt (EEA, 2022). Det allvarliga läget för den biologiska mångfalden i skogen framhålls även i Skogsstyren rapport 2026/07:</w:t>
      </w:r>
    </w:p>
    <w:p>
      <w:r>
        <w:rPr>
          <w:i/>
        </w:rPr>
        <w:t>"All avverkning av kända skogliga värdekärnor och sannolika kontinuitetsskogar behöver upphöra för att fylla bristen om 1,56 miljoner hektar bevarad livsmiljötyp. På grund av begränsade kvarvarande arealer av värdekärnor, naturskogar och kontinuitetsskogar leder fortsatt förlust av dessa till en påtaglig risk för långsiktigt negativa effekter för biologisk mångfald i skogslandskapet. Att de återstående arealerna bevaras och ges ett långsiktigt skydd bedöms därför vara av avgörande betydelse."</w:t>
      </w:r>
      <w:r>
        <w:t xml:space="preserve"> (Skogsstyrelsen, 2026).</w:t>
      </w:r>
    </w:p>
    <w:p>
      <w:r>
        <w:t>Trots detta har statusen för Västlig taiga ändrats till otillräcklig i stället för dålig i den senaste Artikel 17 rapporteringen 2025. Av Naturvårdsverkets rapport framgår det dock att de ändrade statusbedömningarna jämfört med rapporteringen 2019 inte beror på faktiska miljöförändringar. Ändringarna är av teknisk karaktär och främst en följd av resultaten från genomförda regeringsuppdrag och beslut inför rapporteringen 2025. Det är alltså politisk styrning i stället för faktiska förhållanden i naturen som ändrat på naturtypernas status i rapporteringen, vilket rimmar dåligt med såväl art- och habitatdirektivets syften och mål som med naturrestaureringsförordningen. I praktiken har dock Sveriges nya sätt att rapportera bevarandestatus till EU inte någon betydelse eftersom Naturvårdsverkets rapportering 2025 visar att Västlig taiga</w:t>
      </w:r>
      <w:r>
        <w:rPr>
          <w:b/>
        </w:rPr>
        <w:t xml:space="preserve"> </w:t>
      </w:r>
      <w:r>
        <w:t>inte har gynnsam bevarandestatus.</w:t>
      </w:r>
    </w:p>
    <w:p>
      <w:r>
        <w:t>Åtgärder som vidtas i enlighet med art- och habitatdirektivet ska enligt Artikel 2 syfta till att bibehålla eller återställa en gynnsam bevarandestatus hos livsmiljöer samt arter och vilda djur och växter av gemenskapsintresse. Enligt prejudikat från EU-domstolen ska en skogsbruksverksamhet utföras på ett sådant sätt som utgör ett förebyggande och hållbart skogsbruk för att betraktas som förenlig med bevarandekraven i direktivet (se EU-domstolens dom i de förenade målen C 473-19 och C 474-19).</w:t>
      </w:r>
    </w:p>
    <w:p>
      <w:r>
        <w:t xml:space="preserve">Av artikel 1.e samma direktiv framgår att en livsmiljös bevarandestatus anses " gynnsam" när — dess naturliga utbredningsområde och de ytor den täcker inom detta område är stabila eller ökande, och — den särskilda struktur och de särskilda funktioner som är nödvändiga för att den skall kunna bibehållas på lång sikt finns, och sannolikt kommer att finnas under en överskådlig framtid, och — bevarandestatusen hos dess </w:t>
      </w:r>
      <w:r>
        <w:rPr>
          <w:b/>
        </w:rPr>
        <w:t>typiska arter</w:t>
      </w:r>
      <w:r>
        <w:t xml:space="preserve"> är gynnsam enligt definitionen i artikel 1.i.</w:t>
      </w:r>
    </w:p>
    <w:p>
      <w:r>
        <w:t>EU-direktiv är bindande för EU:s medlemsländer varvid det ankommer på Skogsstyrelsen som nationell tillsynsmyndighet att beakta syftet med EU:s art- och habitatdirektiv vid prövningen av en skogsbruksverksamhet, se Rådets direktiv 92/43/EEG. Se ytterligare information om EU:s livsmiljödirektiv i bilaga 2.</w:t>
      </w:r>
    </w:p>
    <w:p>
      <w:r>
        <w:br w:type="page"/>
      </w:r>
    </w:p>
    <w:p>
      <w:pPr>
        <w:pStyle w:val="Title"/>
      </w:pPr>
      <w:r>
        <w:t>BILAGA 1 –</w:t>
        <w:br/>
        <w:t>Fridlysta och rödlistade arter</w:t>
      </w:r>
    </w:p>
    <w:p>
      <w:pPr>
        <w:pStyle w:val="Heading1"/>
      </w:pPr>
      <w:r>
        <w:t>Lunglav – ekologi samt krav på livsmiljön</w:t>
      </w:r>
    </w:p>
    <w:p>
      <w:r>
        <w:t xml:space="preserve">Lunglav (NT) är en av vårt lands främsta signalarter som överallt indikerar gamla lövträd, skogsbestånd med höga naturvärden och ekosystem med lång skoglig kontinuitet. Lokalt kan förekomsten vara mycket riklig men den hittas nästan enbart i gamla och ej slutavverkade skogar. Artens samtliga förekomster bör uppmärksammas från naturvårdssynpunkt, då många lokaler även hyser andra ovanliga och rödlistade arter, däribland de sällsynta lavparasiterna lunglavshårprick (CR), </w:t>
      </w:r>
      <w:r>
        <w:rPr>
          <w:i/>
        </w:rPr>
        <w:t>Abrothallus diederichii</w:t>
      </w:r>
      <w:r>
        <w:t xml:space="preserve"> (VU), </w:t>
      </w:r>
      <w:r>
        <w:rPr>
          <w:i/>
        </w:rPr>
        <w:t>Abrothallus lobariae</w:t>
      </w:r>
      <w:r>
        <w:t xml:space="preserve"> (VU), </w:t>
      </w:r>
      <w:r>
        <w:rPr>
          <w:i/>
        </w:rPr>
        <w:t>Calycina lobariae</w:t>
      </w:r>
      <w:r>
        <w:t xml:space="preserve"> (VU), lunglavsknapp (VU) och skrovelmössing (VU), som växer på lunglav. Rikliga förekomster med lunglav bör skyddas med biotopskydd, frivilliga avsättningar eller reservat (SLU Artdatabanken, 2026; Nitare &amp; Skogsstyrelsen, 2019).</w:t>
      </w:r>
    </w:p>
    <w:p>
      <w:r>
        <w:t xml:space="preserve">Lunglav är typisk art för </w:t>
      </w:r>
      <w:r>
        <w:rPr>
          <w:i/>
        </w:rPr>
        <w:t>9010 Taiga, 9020 Nordlig ädellövskog, 9110 Näringsfattig bokskog, 9130 Näringsrik bokskog, 9160 Näringsrik ekskog, 9180 Ädellövskog i branter, 9190 Näringsfattig ekskog, 9070 Trädklädd betesmark, 9040 Fjällbjörkskog</w:t>
      </w:r>
      <w:r>
        <w:t xml:space="preserve"> och</w:t>
      </w:r>
      <w:r>
        <w:rPr>
          <w:i/>
        </w:rPr>
        <w:t xml:space="preserve"> 6530 Lövängar</w:t>
      </w:r>
      <w:r>
        <w:t xml:space="preserve"> (SLU Artdatabanken, 2026).</w:t>
      </w:r>
    </w:p>
    <w:p>
      <w:pPr>
        <w:pStyle w:val="Heading2"/>
      </w:pPr>
      <w:r>
        <w:t>Referenser – lunglav</w:t>
      </w:r>
    </w:p>
    <w:p>
      <w:r>
        <w:t xml:space="preserve">Nitare, J. och Skogsstyrelsen, 2019. </w:t>
      </w:r>
      <w:r>
        <w:rPr>
          <w:i/>
        </w:rPr>
        <w:t xml:space="preserve">Skyddsvärd skog – Naturvårdsarter och andra kriterier för naturvärdesbedömning. </w:t>
      </w:r>
      <w:r>
        <w:t>Skogsstyrelsen.</w:t>
      </w:r>
    </w:p>
    <w:p>
      <w:r>
        <w:t xml:space="preserve">SLU Artdatabanken, 2026. </w:t>
      </w:r>
      <w:r>
        <w:rPr>
          <w:i/>
        </w:rPr>
        <w:t xml:space="preserve">Artfaktablad. Naturvård – artfakta. </w:t>
      </w:r>
      <w:r>
        <w:t>SLU Artdatabanken, Uppsala.</w:t>
      </w:r>
    </w:p>
    <w:p>
      <w:pPr>
        <w:pStyle w:val="Heading1"/>
      </w:pPr>
      <w:r>
        <w:t>Tretåig hackspett – ekologi samt krav på livsmiljön</w:t>
      </w:r>
    </w:p>
    <w:p>
      <w:r>
        <w:t xml:space="preserve">Tretåig hackspett (NT) är fridlyst enligt §4 Artskyddsförordningen och finns med som prioriterad art i Skogsstyrelsen vägledning för skogsbruket (bilaga 4 till SVL). I vägledningen står bland annat att: </w:t>
      </w:r>
      <w:r>
        <w:rPr>
          <w:i/>
        </w:rPr>
        <w:t xml:space="preserve">“Tretåig hackspett har stora arealkrav och höga krav på sin livsmiljö. Omdaningen av naturskogar till kulturskogar medför en förlust av viktiga miljöer, något som förstärks av ökad fragmentering till följd av avverkningar.” </w:t>
      </w:r>
      <w:r>
        <w:t xml:space="preserve">Vidare att: </w:t>
      </w:r>
      <w:r>
        <w:rPr>
          <w:i/>
        </w:rPr>
        <w:t>“Områden med dokumenterad permanent förekomst i naturskogsmiljöer har vanligen så stora naturvärden att skogsbruk är olämpligt”</w:t>
      </w:r>
      <w:r>
        <w:t xml:space="preserve"> (SLU Artdatabanken, 2024; Skogsstyrelsen, 2016)</w:t>
      </w:r>
      <w:r>
        <w:rPr>
          <w:i/>
        </w:rPr>
        <w:t>.</w:t>
      </w:r>
    </w:p>
    <w:p>
      <w:r>
        <w:t>Tretåig hackspett är beroende av större sammanhängande naturskogar med kontinuerlig tillgång och nybildning av död ved och fragmentering av livsmiljöerna utgör ett stort hot mot arten (se exempelvis Stachura-Skierczynska et al., 2009; Wesolowski et al., 2005; Butler et al., 2004; Pakkala et al., 2002; Amcoff et al., 1996; Virkkala, 1991). Det finns studier som visar att naturskogens självgallringsprocess som den tretåiga hackspetten är beroende av, inte kan ersättas med efterlämnad hänsyn i skogsbruket (Imbeau &amp; Desrochers, 2002).</w:t>
      </w:r>
    </w:p>
    <w:p>
      <w:r>
        <w:t>Permanenta revir av tretåig hackspett karaktäriseras ofta av artens typiska ringformigt ordnade hackmärken på framför allt gamla granar. För att säkerställa att inte revir av tretåig hackspett drabbas av avverkningsplanerna bör en inventering göras i området både under häckningstid och under vintern, då arten utnyttjar betydligt större områden än under sommarens häckningsrevir. Storleken på häckningsreviret varierar med skogstypen, förekomsten av död ved och graden av fragmentering, men är i allmänhet i storleksordningen 25–100 hektar (SLU Artdatabanken, 2024; Skogsstyrelsen, 2016).</w:t>
      </w:r>
    </w:p>
    <w:p>
      <w:r>
        <w:t xml:space="preserve">Förutom fridlysning enligt §4 Artskyddsförordningen är tretåig hackspett även förtecknad i EU:s fågeldirektiv bilaga 1. Den är typisk art för </w:t>
      </w:r>
      <w:r>
        <w:rPr>
          <w:i/>
        </w:rPr>
        <w:t xml:space="preserve">9010 Taiga, 9740 Skogsbevuxen myr, 9030 Landhöjningsskog </w:t>
      </w:r>
      <w:r>
        <w:t xml:space="preserve">och </w:t>
      </w:r>
      <w:r>
        <w:rPr>
          <w:i/>
        </w:rPr>
        <w:t>9040 Fjällbjörkskog</w:t>
      </w:r>
      <w:r>
        <w:t xml:space="preserve"> samt ingår i Natura 2000 och är förtecknad i Bernkonventionen bilaga II (strikt skyddade djurarter) (SLU Artdatabanken, 2024; Skogsstyrelsen, 2016).</w:t>
      </w:r>
    </w:p>
    <w:p>
      <w:pPr>
        <w:pStyle w:val="Heading2"/>
      </w:pPr>
      <w:r>
        <w:t>Referenser – tretåig hackspett</w:t>
      </w:r>
    </w:p>
    <w:p>
      <w:r>
        <w:t xml:space="preserve">Amcoff, M. &amp; Eriksson, P. 1996. </w:t>
      </w:r>
      <w:r>
        <w:rPr>
          <w:i/>
        </w:rPr>
        <w:t xml:space="preserve">Förekomst av tretåig hackspett Picoides tridactylus på bestånds- och landskapsnivå. </w:t>
      </w:r>
      <w:r>
        <w:t>Ornis Svecica 6: 107–119.</w:t>
      </w:r>
    </w:p>
    <w:p>
      <w:r>
        <w:t xml:space="preserve">Butler, R., Angelstam, P., Ekelund, P. &amp; Schlaeffer, R. 2004. </w:t>
      </w:r>
      <w:r>
        <w:rPr>
          <w:i/>
        </w:rPr>
        <w:t xml:space="preserve">Dead wood threshold values for the three-toed woodpecker presence in boreal and sub-Alpine forest. </w:t>
      </w:r>
      <w:r>
        <w:t>Biological conservation 119(3): 305–318.</w:t>
      </w:r>
    </w:p>
    <w:p>
      <w:r>
        <w:t xml:space="preserve">Imbeau, L. &amp; Desrochers, A. 2002. </w:t>
      </w:r>
      <w:r>
        <w:rPr>
          <w:i/>
        </w:rPr>
        <w:t xml:space="preserve">Foraging Ecology and Use of Drumming Trees by Three-Toed Woodpeckers. </w:t>
      </w:r>
      <w:r>
        <w:t>The Journal of Wildlife Management. Vol. 66, No. 1 (Jan., 2002), pp. 222–231.</w:t>
      </w:r>
    </w:p>
    <w:p>
      <w:r>
        <w:t xml:space="preserve">Pakkala, T., Hanski, I. &amp; Tomppo, E. 2002. </w:t>
      </w:r>
      <w:r>
        <w:rPr>
          <w:i/>
        </w:rPr>
        <w:t xml:space="preserve">Spatial ecology of the three-toed woodpecker in managed forest landscapes. </w:t>
      </w:r>
      <w:r>
        <w:t>Silva Fennica 36(1): 279–288.</w:t>
      </w:r>
    </w:p>
    <w:p>
      <w:r>
        <w:t xml:space="preserve">Skogsstyrelsen, 2016. </w:t>
      </w:r>
      <w:r>
        <w:rPr>
          <w:i/>
        </w:rPr>
        <w:t>Vägledning för hänsyn till fåglar – Tretåig hackspett.</w:t>
      </w:r>
    </w:p>
    <w:p>
      <w:r>
        <w:t xml:space="preserve">SLU Artdatabanken, 2024. </w:t>
      </w:r>
      <w:r>
        <w:rPr>
          <w:i/>
        </w:rPr>
        <w:t xml:space="preserve">Artfaktablad. Naturvård – artfakta. </w:t>
      </w:r>
      <w:r>
        <w:t>SLU Artdatabanken, Uppsala.</w:t>
      </w:r>
    </w:p>
    <w:p>
      <w:r>
        <w:t xml:space="preserve">Stachura-Skierczynska, K., Tumiel, T. &amp; Skierczynski, M. 2009. </w:t>
      </w:r>
      <w:r>
        <w:rPr>
          <w:i/>
        </w:rPr>
        <w:t xml:space="preserve">Habitat prediction model for three-toed woodpecker and its implications for the conservation of biologically valuable forests. </w:t>
      </w:r>
      <w:r>
        <w:t>Forest Ecology and Management 258(5): 697–703.</w:t>
      </w:r>
    </w:p>
    <w:p>
      <w:r>
        <w:t xml:space="preserve">Virkkala, R. 1991. </w:t>
      </w:r>
      <w:r>
        <w:rPr>
          <w:i/>
        </w:rPr>
        <w:t xml:space="preserve">Population trends of forest birds in a Finnish Lapland landscape of large habitat blocks – Consequences of stochastic environmental variation or regional habitat alteration. </w:t>
      </w:r>
      <w:r>
        <w:t>Biological conservation 56(2): 223–240.</w:t>
      </w:r>
    </w:p>
    <w:p>
      <w:r>
        <w:t xml:space="preserve">Wesolowski, T., Czeszczewik, D. &amp; Rowinski, P. 2005. </w:t>
      </w:r>
      <w:r>
        <w:rPr>
          <w:i/>
        </w:rPr>
        <w:t xml:space="preserve">Effects of forest management on Three-toed Woodpecker Picoides tridactylus distribution in the Bialowieza Forest (NE Poland): conservation implications. </w:t>
      </w:r>
      <w:r>
        <w:t>Acta Ornithologica 40(1): 53–60.</w:t>
      </w:r>
    </w:p>
    <w:p>
      <w:r>
        <w:br w:type="page"/>
      </w:r>
    </w:p>
    <w:p>
      <w:pPr>
        <w:pStyle w:val="Title"/>
      </w:pPr>
      <w:r>
        <w:t>BILAGA 2 – EU:s art- och habitatdirektiv, fågeldirektiv och naturrestaureringsförordning</w:t>
      </w:r>
    </w:p>
    <w:p>
      <w:pPr>
        <w:pStyle w:val="Heading2"/>
      </w:pPr>
      <w:r>
        <w:t>Förenlighet med EU-direktiv</w:t>
      </w:r>
    </w:p>
    <w:p>
      <w:r>
        <w:t>EU-direktiv är bindande för EU:s medlemsländer varvid det ankommer på Skogsstyrelsen som nationell tillsynsmyndighet att beakta syftet med EU:s art- och habitatdirektiv respektive fågeldirektiv vid prövningen av en skogsbruksverksamhet, se Rådets direktiv 92/43/EEG samt 2009/147/EG. Nationella regler som omfattas av ett EU-direktiv ska enligt fast rättspraxis tolkas i enlighet med direktivet, vilket medför en skyldighet för myndigheten att tolka bestämmelser i nationell rätt i ljuset av direktivets ordalydelse, sammanhang och de mål som eftersträvas med direktivet (se EU-domstolens dom i mål C 477/19).</w:t>
      </w:r>
    </w:p>
    <w:p>
      <w:r>
        <w:t>EU:s medlemsstater åläggs i Artikel 3 i fågeldirektivet generella skyldigheter avseende skydd, bevarande och återställande av tillräckligt stora och varierande livsmiljöer för de fågelarter som omfattas av direktivet. Medlemsstaterna ska vidta de åtgärder som är nödvändiga för att bibehålla populationen av fågelarterna på en nivå som svarar särskilt mot ekologiska, vetenskapliga och kulturella behov, eller återupprätta populationen av dessa arter till en sådan nivå (se Europaparlamentets och rådets direktiv 2009/147/EG).</w:t>
      </w:r>
    </w:p>
    <w:p>
      <w:r>
        <w:t>Åtgärder som vidtas i enlighet med art- och habitatdirektivet (92/43/EEG) ska enligt Artikel 2 syfta till att bibehålla eller återställa en gynnsam bevarandestatus hos livsmiljöer samt arter och vilda djur och växter av gemenskapsintresse. Enligt prejudikat från EU-domstolen ska en skogsbruksverksamhet utföras på ett sådant sätt som utgör ett förebyggande och hållbart skogsbruk för att betraktas som förenlig med bevarandekraven i direktivet (se EU-domstolens dom i de förenade målen C 473-19 och C 474-19).</w:t>
      </w:r>
    </w:p>
    <w:p>
      <w:r>
        <w:t xml:space="preserve">Av artikel 1.e samma direktiv framgår att en livsmiljös bevarandestatus anses " gynnsam" när — dess naturliga utbredningsområde och de ytor den täcker inom detta område är stabila eller ökande, och — den särskilda struktur och de särskilda funktioner som är nödvändiga för att den skall kunna bibehållas på lång sikt finns, och sannolikt kommer att finnas under en överskådlig framtid, och — bevarandestatusen hos dess </w:t>
      </w:r>
      <w:r>
        <w:rPr>
          <w:b/>
        </w:rPr>
        <w:t>typiska arter</w:t>
      </w:r>
      <w:r>
        <w:t xml:space="preserve"> är gynnsam enligt definitionen i artikel 1.i. Typiska arter används för att lokalisera områden med gynnsam bevarandestatus för de naturtyper som ingår i EU:s art- och habitatdirektiv.</w:t>
      </w:r>
    </w:p>
    <w:p>
      <w:r>
        <w:t>Västlig taiga (EU-kod 9010) saknar gynnsam bevarandestatus och minskar starkt som naturtyp i Sverige. Naturvårdsverket skriver i sin vägledning för västlig taiga att dylika miljöer förutsätter normalt att skogarna skyddas långsiktigt, eftersom skogsbruk inte är förenligt med bevarande av naturtypen i gynnsamt tillstånd (Naturvårdsverket, 2011). Enligt Sveriges Artikel 17 rapportering 2013 och 2019 till EU, har naturtypen Västlig taiga (9010) dålig bevarandestatus med negativ trend inom Sveriges boreala region. Skogsbruksåtgärder som avverkning, röjning och gallring pekas ut som några av de främst bidragande orsakerna till naturtypens dåliga status och negativa trend (SLU Artdatabanken, 2019). I EU:s uppföljning av tillståndet för naturtyperna i Skandinavien 2013 – 2018 framgår det att i den boreala regionen är tillståndet så dåligt för Västlig taiga (9010) att habitatet löper allvarlig risk att försvinna regionalt (EEA, 2022). Det allvarliga läget för den biologiska mångfalden i skogen framhålls även i Skogsstyren rapport 2026/07:</w:t>
      </w:r>
    </w:p>
    <w:p>
      <w:r>
        <w:rPr>
          <w:i/>
        </w:rPr>
        <w:t>"All avverkning av kända skogliga värdekärnor och sannolika kontinuitetsskogar behöver upphöra för att fylla bristen om 1,56 miljoner hektar bevarad livsmiljötyp. På grund av begränsade kvarvarande arealer av värdekärnor, naturskogar och kontinuitetsskogar leder fortsatt förlust av dessa till en påtaglig risk för långsiktigt negativa effekter för biologisk mångfald i skogslandskapet. Att de återstående arealerna bevaras och ges ett långsiktigt skydd bedöms därför vara av avgörande betydelse."</w:t>
      </w:r>
      <w:r>
        <w:t xml:space="preserve"> (Skogsstyrelsen, 2026).</w:t>
      </w:r>
    </w:p>
    <w:p>
      <w:pPr>
        <w:pStyle w:val="Caption"/>
      </w:pPr>
      <w:r>
        <w:drawing>
          <wp:inline xmlns:a="http://schemas.openxmlformats.org/drawingml/2006/main" xmlns:pic="http://schemas.openxmlformats.org/drawingml/2006/picture">
            <wp:extent cx="5486400" cy="2905862"/>
            <wp:docPr id="2" name="Picture 2"/>
            <wp:cNvGraphicFramePr>
              <a:graphicFrameLocks noChangeAspect="1"/>
            </wp:cNvGraphicFramePr>
            <a:graphic>
              <a:graphicData uri="http://schemas.openxmlformats.org/drawingml/2006/picture">
                <pic:pic>
                  <pic:nvPicPr>
                    <pic:cNvPr id="0" name="uppföljning av västlig taiga.jpeg"/>
                    <pic:cNvPicPr/>
                  </pic:nvPicPr>
                  <pic:blipFill>
                    <a:blip r:embed="rId17"/>
                    <a:stretch>
                      <a:fillRect/>
                    </a:stretch>
                  </pic:blipFill>
                  <pic:spPr>
                    <a:xfrm>
                      <a:off x="0" y="0"/>
                      <a:ext cx="5486400" cy="2905862"/>
                    </a:xfrm>
                    <a:prstGeom prst="rect"/>
                  </pic:spPr>
                </pic:pic>
              </a:graphicData>
            </a:graphic>
          </wp:inline>
        </w:drawing>
      </w:r>
    </w:p>
    <w:p>
      <w:pPr>
        <w:pStyle w:val="Caption"/>
      </w:pPr>
      <w:r>
        <w:t>EU:s uppföljning av tillståndet för naturtypen Västlig taiga 9010 i Skandinavien 2013 - 2018. Av kartan framgår det att i den boreala regionen är tillståndet så dåligt (röd färg) att habitatet löper allvarlig risk att försvinna regionalt. Källa: European Environment Agency. https:// eunis.eea.europoa.eu/habitats/10176.</w:t>
      </w:r>
    </w:p>
    <w:p>
      <w:r>
        <w:t>Trots det allvarliga läget har statusen för Västlig taiga ändrats till otillräcklig i stället för dålig i den senaste Artikel 17 rapporteringen 2025. Av Naturvårdsverkets rapport framgår det dock att de ändrade statusbedömningarna jämfört med rapporteringen 2019 inte beror på faktiska miljöförändringar. Ändringarna är av teknisk karaktär och främst en följd av resultaten från genomförda regeringsuppdrag och beslut inför rapporteringen 2025. Det är alltså politisk styrning i stället för faktiska förhållanden i naturen som ändrat på naturtypernas status i rapporteringen, vilket rimmar dåligt med såväl art- och habitatdirektivets syften och mål som med naturrestaureringsförordningen. I praktiken har dock Sveriges nya sätt att rapportera bevarandestatus till EU inte någon betydelse eftersom Naturvårdsverkets rapportering 2025 visar att Västlig taiga inte har gynnsam bevarandestatus.</w:t>
      </w:r>
    </w:p>
    <w:p>
      <w:pPr>
        <w:pStyle w:val="Heading2"/>
      </w:pPr>
      <w:r>
        <w:t>EU:s naturrestaureringsförordning</w:t>
      </w:r>
    </w:p>
    <w:p>
      <w:r>
        <w:t>Enligt EU:s naturrestaureringsförordning (EU 2024/1991) ska minst 20 % av landområden och minst 20 % av havsarealen vara restaurerad senast 2030, samt alla ekosystem som är i behov av restaurering senast 2050. Det framgår också av förordningen att det är viktigt att livsmiljötyperna inte försämras innan eller efter att restaureringar genomförts, se exempelvis punkt 37 förordningen.</w:t>
      </w:r>
    </w:p>
    <w:p>
      <w:r>
        <w:t>”</w:t>
      </w:r>
      <w:r>
        <w:rPr>
          <w:i/>
        </w:rPr>
        <w:t>Det är viktigt att medlemsstaterna vidtar åtgärder som syftar till att säkerställa att tillståndet för områden som täcks av livsmiljötyper som omfattas av denna förordning och som omfattas av restaureringsåtgärder uppvisar en kontinuerlig förbättring till dess att de uppnår ett gott tillstånd, och att medlemsstaterna vidtar åtgärder som syftar till att säkerställa att dessa livsmiljötyper, när de har uppnått ett gott tillstånd, inte försämras avsevärt, så att det långsiktiga bibehållandet eller uppnåendet av gott tillstånd inte äventyras. (..) Det är också viktigt att medlemsstaterna anstränger sig för att förhindra avsevärd försämring av områden som täcks av sådana livsmiljötyper som antingen redan är i gott skick eller som inte är i gott skick men ännu inte omfattas av restaureringsåtgärder.”</w:t>
      </w:r>
    </w:p>
    <w:p>
      <w:r>
        <w:rPr>
          <w:b/>
          <w:i/>
        </w:rPr>
        <w:t>Artikel 4(12):</w:t>
      </w:r>
    </w:p>
    <w:p>
      <w:r>
        <w:rPr>
          <w:i/>
        </w:rPr>
        <w:t>Utan att det påverkar tillämpningen av direktiv 92/43/EEG ska medlemsstaterna, senast den dag då deras nationella restaureringsplaner offentliggörs i enlighet med artikel 17.6 i denna förordning, eftersträva att genomföra de åtgärder som krävs för att förhindra avsevärd försämring av områden där de livsmiljötyper som förtecknas i bilaga I till denna förordning förekommer och som är i gott tillstånd eller som krävs för att uppnå de restaureringsmål som anges i punkt 17 i den här artikeln.</w:t>
      </w:r>
    </w:p>
    <w:p>
      <w:r>
        <w:rPr>
          <w:b/>
          <w:i/>
        </w:rPr>
        <w:t>Artikel 4 (17).   Medlemsstaterna ska säkerställa</w:t>
      </w:r>
    </w:p>
    <w:p>
      <w:r>
        <w:rPr>
          <w:i/>
        </w:rPr>
        <w:t>a) en ökning av arealen i gott tillstånd för de livsmiljötyper som förtecknas i bilaga I till dess att minst 90 % är i gott tillstånd och till dess att den gynnsamma referensarealen för varje livsmiljötyp i varje biogeografisk region inom den berörda medlemsstaten har uppnåtts.</w:t>
      </w:r>
    </w:p>
    <w:p>
      <w:r>
        <w:t>Referenser</w:t>
      </w:r>
    </w:p>
    <w:p>
      <w:r>
        <w:t xml:space="preserve">EEA European Environment Agency, 2022. </w:t>
      </w:r>
      <w:r>
        <w:rPr>
          <w:i/>
        </w:rPr>
        <w:t xml:space="preserve">Western taiga – Conservation status 2013-2018. </w:t>
      </w:r>
      <w:r>
        <w:t>https:// eunis.eea.europoa.eu/habitats/10176.</w:t>
      </w:r>
    </w:p>
    <w:p>
      <w:r>
        <w:t>EU-domstolens dom av den 2 juli 2020 i målet C 477/19 (Europeisk hamster) p. 23.</w:t>
      </w:r>
    </w:p>
    <w:p>
      <w:r>
        <w:t>EU-domstolens dom av den 4 mars 2021 i de förenade målen C 473-19 och C 474-19 (Skydda skogen) p. 70 och 76.</w:t>
      </w:r>
    </w:p>
    <w:p>
      <w:r>
        <w:t>Europaparlamentets och rådets direktiv 2009/147/EG av den 30 november 2009 om bevarande av vilda fåglar.</w:t>
      </w:r>
    </w:p>
    <w:p>
      <w:r>
        <w:t>EUROPAPARLAMENTETS OCH RÅDETS FÖRORDNING (EU) 2024/1991 av den 24 juni 2024 om restaurering av natur och om ändring av förordning (EU) 2022/869.</w:t>
      </w:r>
    </w:p>
    <w:p>
      <w:r>
        <w:t>Rådets direktiv 92/43/EEG av den 21 mj 1992 om bevarande av livsmiljöer samt vilda djur och växter.</w:t>
      </w:r>
    </w:p>
    <w:p>
      <w:r>
        <w:t xml:space="preserve">Skogsstyrelsen, 2026. </w:t>
      </w:r>
      <w:r>
        <w:rPr>
          <w:i/>
        </w:rPr>
        <w:t>Biologisk mångfald i skogen.</w:t>
      </w:r>
      <w:r>
        <w:t xml:space="preserve"> Rapport 2026/07.</w:t>
      </w:r>
    </w:p>
    <w:p>
      <w:r>
        <w:t xml:space="preserve">SLU Artdatabanken, 2019. </w:t>
      </w:r>
      <w:r>
        <w:rPr>
          <w:i/>
        </w:rPr>
        <w:t>Sveriges arter och naturtyper i EU:s art- och habitatdirektiv.</w:t>
      </w:r>
      <w:r>
        <w:t xml:space="preserve"> Resultat från rapportering 2019 till EU av bevarandestatus 2013-2018.</w:t>
      </w:r>
    </w:p>
    <w:sectPr w:rsidR="00CF3394" w:rsidRPr="00065D91" w:rsidSect="00034616">
      <w:headerReference w:type="even" r:id="rId8"/>
      <w:headerReference w:type="default" r:id="rId9"/>
      <w:footerReference w:type="even" r:id="rId10"/>
      <w:footerReference w:type="default" r:id="rId11"/>
      <w:headerReference w:type="first" r:id="rId12"/>
      <w:footerReference w:type="first" r:id="rId13"/>
      <w:pgSz w:w="12240" w:h="15840"/>
      <w:pgMar w:top="1440" w:right="1800" w:bottom="1440" w:left="1800" w:header="720" w:footer="720" w:gutter="0"/>
      <w:cols w:space="720"/>
      <w:titlePg/>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40D34524" w14:textId="77777777" w:rsidR="004440AA" w:rsidRDefault="004440AA" w:rsidP="000942A1">
      <w:pPr>
        <w:spacing w:after="0" w:line="240" w:lineRule="auto"/>
      </w:pPr>
      <w:r>
        <w:separator/>
      </w:r>
    </w:p>
  </w:endnote>
  <w:endnote w:type="continuationSeparator" w:id="0">
    <w:p w14:paraId="7E8F364B" w14:textId="77777777" w:rsidR="004440AA" w:rsidRDefault="004440AA" w:rsidP="000942A1">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ambria">
    <w:panose1 w:val="02040503050406030204"/>
    <w:charset w:val="00"/>
    <w:family w:val="roman"/>
    <w:pitch w:val="variable"/>
    <w:sig w:usb0="E00006FF" w:usb1="420024FF" w:usb2="02000000" w:usb3="00000000" w:csb0="0000019F" w:csb1="00000000"/>
  </w:font>
  <w:font w:name="MS Mincho">
    <w:panose1 w:val="02020609040205080304"/>
    <w:charset w:val="80"/>
    <w:family w:val="modern"/>
    <w:pitch w:val="fixed"/>
    <w:sig w:usb0="E00002FF" w:usb1="6AC7FDFB" w:usb2="08000012" w:usb3="00000000" w:csb0="0002009F" w:csb1="00000000"/>
  </w:font>
  <w:font w:name="MS Gothic">
    <w:altName w:val="ＭＳ ゴシック"/>
    <w:panose1 w:val="020B0609070205080204"/>
    <w:charset w:val="80"/>
    <w:family w:val="modern"/>
    <w:pitch w:val="fixed"/>
    <w:sig w:usb0="E00002FF" w:usb1="6AC7FDFB" w:usb2="08000012" w:usb3="00000000" w:csb0="0002009F" w:csb1="00000000"/>
  </w:font>
  <w:font w:name="Calibri">
    <w:panose1 w:val="020F0502020204030204"/>
    <w:charset w:val="00"/>
    <w:family w:val="swiss"/>
    <w:pitch w:val="variable"/>
    <w:sig w:usb0="E4002EFF" w:usb1="C200247B" w:usb2="00000009" w:usb3="00000000" w:csb0="000001FF" w:csb1="00000000"/>
  </w:font>
  <w:font w:name="Courier">
    <w:panose1 w:val="02070409020205020404"/>
    <w:charset w:val="00"/>
    <w:family w:val="auto"/>
    <w:pitch w:val="variable"/>
    <w:sig w:usb0="00000003" w:usb1="00000000" w:usb2="00000000" w:usb3="00000000" w:csb0="00000001"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169FD72D" w14:textId="77777777" w:rsidR="000942A1" w:rsidRDefault="000942A1">
    <w:pPr>
      <w:pStyle w:val="Footer"/>
    </w:pP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5CF6334" w14:textId="77777777" w:rsidR="000942A1" w:rsidRDefault="000942A1">
    <w:pPr>
      <w:pStyle w:val="Footer"/>
    </w:pPr>
  </w:p>
</w:ftr>
</file>

<file path=word/footer3.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5CB072F7" w14:textId="77777777" w:rsidR="000942A1" w:rsidRDefault="000942A1">
    <w:pPr>
      <w:pStyle w:val="Foote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7466DDD6" w14:textId="77777777" w:rsidR="004440AA" w:rsidRDefault="004440AA" w:rsidP="000942A1">
      <w:pPr>
        <w:spacing w:after="0" w:line="240" w:lineRule="auto"/>
      </w:pPr>
      <w:r>
        <w:separator/>
      </w:r>
    </w:p>
  </w:footnote>
  <w:footnote w:type="continuationSeparator" w:id="0">
    <w:p w14:paraId="648141F8" w14:textId="77777777" w:rsidR="004440AA" w:rsidRDefault="004440AA" w:rsidP="000942A1">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4D8D2A6C" w14:textId="77777777" w:rsidR="000942A1" w:rsidRDefault="000942A1">
    <w:pPr>
      <w:pStyle w:val="Header"/>
    </w:pP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383C8D62" w14:textId="77777777" w:rsidR="000942A1" w:rsidRDefault="000942A1" w:rsidP="000942A1">
    <w:pPr>
      <w:pStyle w:val="Header"/>
      <w:jc w:val="left"/>
    </w:pPr>
  </w:p>
</w:hdr>
</file>

<file path=word/header3.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42F7434" w14:textId="77777777" w:rsidR="000942A1" w:rsidRDefault="000942A1">
    <w:pPr>
      <w:pStyle w:val="Header"/>
      <w:jc w:val="left"/>
    </w:pPr>
    <w:r>
      <w:tab/>
      <w:tab/>
      <w:t>2026-09-17</w:t>
      <w:br/>
      <w:br/>
    </w:r>
    <w:r>
      <w:t>Till: Skogsstyrelsen</w:t>
      <w:br/>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FFFFFF7C"/>
    <w:multiLevelType w:val="singleLevel"/>
    <w:tmpl w:val="C310EC42"/>
    <w:lvl w:ilvl="0">
      <w:start w:val="1"/>
      <w:numFmt w:val="decimal"/>
      <w:lvlText w:val="%1."/>
      <w:lvlJc w:val="left"/>
      <w:pPr>
        <w:tabs>
          <w:tab w:val="num" w:pos="1800"/>
        </w:tabs>
        <w:ind w:left="1800" w:hanging="360"/>
      </w:pPr>
    </w:lvl>
  </w:abstractNum>
  <w:abstractNum w:abstractNumId="1" w15:restartNumberingAfterBreak="0">
    <w:nsid w:val="FFFFFF7D"/>
    <w:multiLevelType w:val="singleLevel"/>
    <w:tmpl w:val="E4089024"/>
    <w:lvl w:ilvl="0">
      <w:start w:val="1"/>
      <w:numFmt w:val="decimal"/>
      <w:lvlText w:val="%1."/>
      <w:lvlJc w:val="left"/>
      <w:pPr>
        <w:tabs>
          <w:tab w:val="num" w:pos="1440"/>
        </w:tabs>
        <w:ind w:left="1440" w:hanging="360"/>
      </w:pPr>
    </w:lvl>
  </w:abstractNum>
  <w:abstractNum w:abstractNumId="2" w15:restartNumberingAfterBreak="0">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15:restartNumberingAfterBreak="0">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15:restartNumberingAfterBreak="0">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15:restartNumberingAfterBreak="0">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15:restartNumberingAfterBreak="0">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15:restartNumberingAfterBreak="0">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15:restartNumberingAfterBreak="0">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16cid:durableId="1857424081">
    <w:abstractNumId w:val="8"/>
  </w:num>
  <w:num w:numId="2" w16cid:durableId="160244525">
    <w:abstractNumId w:val="6"/>
  </w:num>
  <w:num w:numId="3" w16cid:durableId="1382364049">
    <w:abstractNumId w:val="5"/>
  </w:num>
  <w:num w:numId="4" w16cid:durableId="1374845979">
    <w:abstractNumId w:val="4"/>
  </w:num>
  <w:num w:numId="5" w16cid:durableId="627198427">
    <w:abstractNumId w:val="7"/>
  </w:num>
  <w:num w:numId="6" w16cid:durableId="474952274">
    <w:abstractNumId w:val="3"/>
  </w:num>
  <w:num w:numId="7" w16cid:durableId="881794421">
    <w:abstractNumId w:val="2"/>
  </w:num>
  <w:num w:numId="8" w16cid:durableId="152338385">
    <w:abstractNumId w:val="1"/>
  </w:num>
  <w:num w:numId="9" w16cid:durableId="150690017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310"/>
  <w:proofState w:spelling="clean" w:grammar="clean"/>
  <w:defaultTabStop w:val="720"/>
  <w:characterSpacingControl w:val="doNotCompress"/>
  <w:footnotePr>
    <w:footnote w:id="-1"/>
    <w:footnote w:id="0"/>
  </w:footnotePr>
  <w:endnotePr>
    <w:endnote w:id="-1"/>
    <w:endnote w:id="0"/>
  </w:endnotePr>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B47730"/>
    <w:rsid w:val="00034616"/>
    <w:rsid w:val="0006063C"/>
    <w:rsid w:val="00065D91"/>
    <w:rsid w:val="000942A1"/>
    <w:rsid w:val="0015074B"/>
    <w:rsid w:val="00187F12"/>
    <w:rsid w:val="0029639D"/>
    <w:rsid w:val="00326F90"/>
    <w:rsid w:val="004440AA"/>
    <w:rsid w:val="006E156C"/>
    <w:rsid w:val="006E6E89"/>
    <w:rsid w:val="007106C8"/>
    <w:rsid w:val="00804023"/>
    <w:rsid w:val="00AA10D1"/>
    <w:rsid w:val="00AA1D8D"/>
    <w:rsid w:val="00B47730"/>
    <w:rsid w:val="00CB0664"/>
    <w:rsid w:val="00CF3394"/>
    <w:rsid w:val="00E854FA"/>
    <w:rsid w:val="00ED360C"/>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6"/>
    <o:shapelayout v:ext="edit">
      <o:idmap v:ext="edit" data="1"/>
    </o:shapelayout>
  </w:shapeDefaults>
  <w:decimalSymbol w:val=","/>
  <w:listSeparator w:val=";"/>
  <w14:docId w14:val="55B208E3"/>
  <w14:defaultImageDpi w14:val="300"/>
  <w15:docId w15:val="{ED4CC3EB-CE4E-4FB6-B443-E75F49033168}"/>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EastAsia" w:hAnsiTheme="minorHAnsi" w:cstheme="minorBidi"/>
        <w:sz w:val="22"/>
        <w:szCs w:val="22"/>
        <w:lang w:val="sv-SE" w:eastAsia="en-US" w:bidi="ar-SA"/>
      </w:rPr>
    </w:rPrDefault>
    <w:pPrDefault>
      <w:pPr>
        <w:spacing w:after="200"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7106C8"/>
    <w:pPr>
      <w:jc w:val="both"/>
    </w:pPr>
    <w:rPr>
      <w:rFonts w:ascii="Times New Roman" w:hAnsi="Times New Roman"/>
      <w:lang w:val="sv-SE" w:eastAsia="en-US" w:bidi="ar-SA"/>
    </w:rPr>
  </w:style>
  <w:style w:type="paragraph" w:styleId="Heading1">
    <w:name w:val="heading 1"/>
    <w:basedOn w:val="Normal"/>
    <w:next w:val="Normal"/>
    <w:link w:val="Heading1Char"/>
    <w:uiPriority w:val="9"/>
    <w:qFormat/>
    <w:rsid w:val="006E156C"/>
    <w:pPr>
      <w:keepNext/>
      <w:keepLines/>
      <w:spacing w:before="480" w:after="0"/>
      <w:outlineLvl w:val="0"/>
    </w:pPr>
    <w:rPr>
      <w:rFonts w:eastAsiaTheme="majorEastAsia" w:cstheme="majorBidi"/>
      <w:bCs/>
      <w:sz w:val="32"/>
      <w:szCs w:val="28"/>
      <w:lang w:val="sv-SE" w:eastAsia="en-US" w:bidi="ar-SA"/>
    </w:rPr>
  </w:style>
  <w:style w:type="paragraph" w:styleId="Heading2">
    <w:name w:val="heading 2"/>
    <w:basedOn w:val="Normal"/>
    <w:next w:val="Normal"/>
    <w:link w:val="Heading2Char"/>
    <w:uiPriority w:val="9"/>
    <w:unhideWhenUsed/>
    <w:qFormat/>
    <w:rsid w:val="007106C8"/>
    <w:pPr>
      <w:keepNext/>
      <w:keepLines/>
      <w:spacing w:before="200" w:after="0"/>
      <w:outlineLvl w:val="1"/>
    </w:pPr>
    <w:rPr>
      <w:rFonts w:eastAsiaTheme="majorEastAsia" w:cstheme="majorBidi"/>
      <w:bCs/>
      <w:sz w:val="28"/>
      <w:szCs w:val="26"/>
      <w:lang w:val="sv-SE" w:eastAsia="en-US" w:bidi="ar-SA"/>
    </w:rPr>
  </w:style>
  <w:style w:type="paragraph" w:styleId="Heading3">
    <w:name w:val="heading 3"/>
    <w:basedOn w:val="Normal"/>
    <w:next w:val="Normal"/>
    <w:link w:val="Heading3Char"/>
    <w:uiPriority w:val="9"/>
    <w:unhideWhenUsed/>
    <w:qFormat/>
    <w:rsid w:val="007106C8"/>
    <w:pPr>
      <w:keepNext/>
      <w:keepLines/>
      <w:spacing w:before="200" w:after="0"/>
      <w:outlineLvl w:val="2"/>
    </w:pPr>
    <w:rPr>
      <w:rFonts w:eastAsiaTheme="majorEastAsia" w:cstheme="majorBidi"/>
      <w:bCs/>
      <w:sz w:val="24"/>
      <w:lang w:val="sv-SE" w:eastAsia="en-US" w:bidi="ar-SA"/>
    </w:rPr>
  </w:style>
  <w:style w:type="paragraph" w:styleId="Heading4">
    <w:name w:val="heading 4"/>
    <w:basedOn w:val="Normal"/>
    <w:next w:val="Normal"/>
    <w:link w:val="Heading4Char"/>
    <w:uiPriority w:val="9"/>
    <w:unhideWhenUsed/>
    <w:qFormat/>
    <w:rsid w:val="007106C8"/>
    <w:pPr>
      <w:keepNext/>
      <w:keepLines/>
      <w:spacing w:before="200" w:after="0"/>
      <w:outlineLvl w:val="3"/>
    </w:pPr>
    <w:rPr>
      <w:rFonts w:eastAsiaTheme="majorEastAsia" w:cstheme="majorBidi"/>
      <w:bCs/>
      <w:iCs/>
      <w:lang w:val="sv-SE" w:eastAsia="en-US" w:bidi="ar-SA"/>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lang w:val="sv-SE" w:eastAsia="en-US" w:bidi="ar-SA"/>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lang w:val="sv-SE" w:eastAsia="en-US" w:bidi="ar-SA"/>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lang w:val="sv-SE" w:eastAsia="en-US" w:bidi="ar-SA"/>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lang w:val="sv-SE" w:eastAsia="en-US" w:bidi="ar-SA"/>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lang w:val="sv-SE" w:eastAsia="en-US" w:bidi="ar-SA"/>
    </w:rPr>
  </w:style>
  <w:style w:type="character" w:default="1" w:styleId="DefaultParagraphFont">
    <w:name w:val="Default Paragraph Font"/>
    <w:uiPriority w:val="1"/>
    <w:semiHidden/>
    <w:unhideWhenUsed/>
    <w:rPr>
      <w:lang w:val="sv-SE" w:eastAsia="en-US" w:bidi="ar-SA"/>
    </w:rPr>
  </w:style>
  <w:style w:type="table" w:default="1" w:styleId="TableNormal">
    <w:name w:val="Normal Table"/>
    <w:uiPriority w:val="99"/>
    <w:semiHidden/>
    <w:unhideWhenUsed/>
    <w:rPr>
      <w:lang w:val="sv-SE" w:eastAsia="en-US" w:bidi="ar-SA"/>
    </w:rPr>
    <w:tblPr>
      <w:tblInd w:w="0" w:type="dxa"/>
      <w:tblCellMar>
        <w:top w:w="0" w:type="dxa"/>
        <w:left w:w="108" w:type="dxa"/>
        <w:bottom w:w="0" w:type="dxa"/>
        <w:right w:w="108" w:type="dxa"/>
      </w:tblCellMar>
    </w:tblPr>
  </w:style>
  <w:style w:type="numbering" w:default="1" w:styleId="NoList">
    <w:name w:val="No List"/>
    <w:uiPriority w:val="99"/>
    <w:semiHidden/>
    <w:unhideWhenUsed/>
    <w:rPr>
      <w:lang w:val="sv-SE" w:eastAsia="en-US" w:bidi="ar-SA"/>
    </w:rPr>
  </w:style>
  <w:style w:type="paragraph" w:styleId="Header">
    <w:name w:val="header"/>
    <w:basedOn w:val="Normal"/>
    <w:link w:val="HeaderChar"/>
    <w:uiPriority w:val="99"/>
    <w:unhideWhenUsed/>
    <w:rsid w:val="00E618BF"/>
    <w:pPr>
      <w:tabs>
        <w:tab w:val="center" w:pos="4680"/>
        <w:tab w:val="right" w:pos="9360"/>
      </w:tabs>
      <w:spacing w:after="0" w:line="240" w:lineRule="auto"/>
    </w:pPr>
    <w:rPr>
      <w:lang w:val="sv-SE" w:eastAsia="en-US" w:bidi="ar-SA"/>
    </w:rPr>
  </w:style>
  <w:style w:type="character" w:customStyle="1" w:styleId="HeaderChar">
    <w:name w:val="Header Char"/>
    <w:basedOn w:val="DefaultParagraphFont"/>
    <w:link w:val="Header"/>
    <w:uiPriority w:val="99"/>
    <w:rsid w:val="00E618BF"/>
    <w:rPr>
      <w:lang w:val="sv-SE" w:eastAsia="en-US" w:bidi="ar-SA"/>
    </w:rPr>
  </w:style>
  <w:style w:type="paragraph" w:styleId="Footer">
    <w:name w:val="footer"/>
    <w:basedOn w:val="Normal"/>
    <w:link w:val="FooterChar"/>
    <w:uiPriority w:val="99"/>
    <w:unhideWhenUsed/>
    <w:rsid w:val="00E618BF"/>
    <w:pPr>
      <w:tabs>
        <w:tab w:val="center" w:pos="4680"/>
        <w:tab w:val="right" w:pos="9360"/>
      </w:tabs>
      <w:spacing w:after="0" w:line="240" w:lineRule="auto"/>
    </w:pPr>
    <w:rPr>
      <w:lang w:val="sv-SE" w:eastAsia="en-US" w:bidi="ar-SA"/>
    </w:rPr>
  </w:style>
  <w:style w:type="character" w:customStyle="1" w:styleId="FooterChar">
    <w:name w:val="Footer Char"/>
    <w:basedOn w:val="DefaultParagraphFont"/>
    <w:link w:val="Footer"/>
    <w:uiPriority w:val="99"/>
    <w:rsid w:val="00E618BF"/>
    <w:rPr>
      <w:lang w:val="sv-SE" w:eastAsia="en-US" w:bidi="ar-SA"/>
    </w:rPr>
  </w:style>
  <w:style w:type="paragraph" w:styleId="NoSpacing">
    <w:name w:val="No Spacing"/>
    <w:uiPriority w:val="1"/>
    <w:qFormat/>
    <w:rsid w:val="00FC693F"/>
    <w:pPr>
      <w:spacing w:after="0" w:line="240" w:lineRule="auto"/>
    </w:pPr>
    <w:rPr>
      <w:lang w:val="sv-SE" w:eastAsia="en-US" w:bidi="ar-SA"/>
    </w:rPr>
  </w:style>
  <w:style w:type="character" w:customStyle="1" w:styleId="Heading1Char">
    <w:name w:val="Heading 1 Char"/>
    <w:basedOn w:val="DefaultParagraphFont"/>
    <w:link w:val="Heading1"/>
    <w:uiPriority w:val="9"/>
    <w:rsid w:val="006E156C"/>
    <w:rPr>
      <w:rFonts w:ascii="Times New Roman" w:eastAsiaTheme="majorEastAsia" w:hAnsi="Times New Roman" w:cstheme="majorBidi"/>
      <w:bCs/>
      <w:sz w:val="32"/>
      <w:szCs w:val="28"/>
      <w:lang w:val="sv-SE" w:eastAsia="en-US" w:bidi="ar-SA"/>
    </w:rPr>
  </w:style>
  <w:style w:type="character" w:customStyle="1" w:styleId="Heading2Char">
    <w:name w:val="Heading 2 Char"/>
    <w:basedOn w:val="DefaultParagraphFont"/>
    <w:link w:val="Heading2"/>
    <w:uiPriority w:val="9"/>
    <w:rsid w:val="007106C8"/>
    <w:rPr>
      <w:rFonts w:ascii="Times New Roman" w:eastAsiaTheme="majorEastAsia" w:hAnsi="Times New Roman" w:cstheme="majorBidi"/>
      <w:bCs/>
      <w:sz w:val="28"/>
      <w:szCs w:val="26"/>
      <w:lang w:val="sv-SE" w:eastAsia="en-US" w:bidi="ar-SA"/>
    </w:rPr>
  </w:style>
  <w:style w:type="character" w:customStyle="1" w:styleId="Heading3Char">
    <w:name w:val="Heading 3 Char"/>
    <w:basedOn w:val="DefaultParagraphFont"/>
    <w:link w:val="Heading3"/>
    <w:uiPriority w:val="9"/>
    <w:rsid w:val="007106C8"/>
    <w:rPr>
      <w:rFonts w:ascii="Times New Roman" w:eastAsiaTheme="majorEastAsia" w:hAnsi="Times New Roman" w:cstheme="majorBidi"/>
      <w:bCs/>
      <w:sz w:val="24"/>
      <w:lang w:val="sv-SE" w:eastAsia="en-US" w:bidi="ar-SA"/>
    </w:rPr>
  </w:style>
  <w:style w:type="paragraph" w:styleId="Title">
    <w:name w:val="Title"/>
    <w:basedOn w:val="Normal"/>
    <w:next w:val="Normal"/>
    <w:link w:val="TitleChar"/>
    <w:uiPriority w:val="10"/>
    <w:qFormat/>
    <w:rsid w:val="00E854FA"/>
    <w:pPr>
      <w:spacing w:after="300" w:line="240" w:lineRule="auto"/>
      <w:contextualSpacing/>
      <w:jc w:val="center"/>
    </w:pPr>
    <w:rPr>
      <w:rFonts w:eastAsiaTheme="majorEastAsia" w:cstheme="majorBidi"/>
      <w:spacing w:val="5"/>
      <w:kern w:val="28"/>
      <w:sz w:val="40"/>
      <w:szCs w:val="52"/>
      <w:lang w:val="sv-SE" w:eastAsia="en-US" w:bidi="ar-SA"/>
    </w:rPr>
  </w:style>
  <w:style w:type="character" w:customStyle="1" w:styleId="TitleChar">
    <w:name w:val="Title Char"/>
    <w:basedOn w:val="DefaultParagraphFont"/>
    <w:link w:val="Title"/>
    <w:uiPriority w:val="10"/>
    <w:rsid w:val="00E854FA"/>
    <w:rPr>
      <w:rFonts w:ascii="Times New Roman" w:eastAsiaTheme="majorEastAsia" w:hAnsi="Times New Roman" w:cstheme="majorBidi"/>
      <w:spacing w:val="5"/>
      <w:kern w:val="28"/>
      <w:sz w:val="40"/>
      <w:szCs w:val="52"/>
      <w:lang w:val="sv-SE" w:eastAsia="en-US" w:bidi="ar-SA"/>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lang w:val="sv-SE" w:eastAsia="en-US" w:bidi="ar-SA"/>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lang w:val="sv-SE" w:eastAsia="en-US" w:bidi="ar-SA"/>
    </w:rPr>
  </w:style>
  <w:style w:type="paragraph" w:styleId="ListParagraph">
    <w:name w:val="List Paragraph"/>
    <w:basedOn w:val="Normal"/>
    <w:uiPriority w:val="34"/>
    <w:qFormat/>
    <w:rsid w:val="00FC693F"/>
    <w:pPr>
      <w:ind w:left="720"/>
      <w:contextualSpacing/>
    </w:pPr>
    <w:rPr>
      <w:lang w:val="sv-SE" w:eastAsia="en-US" w:bidi="ar-SA"/>
    </w:rPr>
  </w:style>
  <w:style w:type="paragraph" w:styleId="BodyText">
    <w:name w:val="Body Text"/>
    <w:basedOn w:val="Normal"/>
    <w:link w:val="BodyTextChar"/>
    <w:uiPriority w:val="99"/>
    <w:unhideWhenUsed/>
    <w:rsid w:val="00AA1D8D"/>
    <w:pPr>
      <w:spacing w:after="120"/>
    </w:pPr>
    <w:rPr>
      <w:lang w:val="sv-SE" w:eastAsia="en-US" w:bidi="ar-SA"/>
    </w:rPr>
  </w:style>
  <w:style w:type="character" w:customStyle="1" w:styleId="BodyTextChar">
    <w:name w:val="Body Text Char"/>
    <w:basedOn w:val="DefaultParagraphFont"/>
    <w:link w:val="BodyText"/>
    <w:uiPriority w:val="99"/>
    <w:rsid w:val="00AA1D8D"/>
    <w:rPr>
      <w:lang w:val="sv-SE" w:eastAsia="en-US" w:bidi="ar-SA"/>
    </w:rPr>
  </w:style>
  <w:style w:type="paragraph" w:styleId="BodyText2">
    <w:name w:val="Body Text 2"/>
    <w:basedOn w:val="Normal"/>
    <w:link w:val="BodyText2Char"/>
    <w:uiPriority w:val="99"/>
    <w:unhideWhenUsed/>
    <w:rsid w:val="00AA1D8D"/>
    <w:pPr>
      <w:spacing w:after="120" w:line="480" w:lineRule="auto"/>
    </w:pPr>
    <w:rPr>
      <w:lang w:val="sv-SE" w:eastAsia="en-US" w:bidi="ar-SA"/>
    </w:rPr>
  </w:style>
  <w:style w:type="character" w:customStyle="1" w:styleId="BodyText2Char">
    <w:name w:val="Body Text 2 Char"/>
    <w:basedOn w:val="DefaultParagraphFont"/>
    <w:link w:val="BodyText2"/>
    <w:uiPriority w:val="99"/>
    <w:rsid w:val="00AA1D8D"/>
    <w:rPr>
      <w:lang w:val="sv-SE" w:eastAsia="en-US" w:bidi="ar-SA"/>
    </w:rPr>
  </w:style>
  <w:style w:type="paragraph" w:styleId="BodyText3">
    <w:name w:val="Body Text 3"/>
    <w:basedOn w:val="Normal"/>
    <w:link w:val="BodyText3Char"/>
    <w:uiPriority w:val="99"/>
    <w:unhideWhenUsed/>
    <w:rsid w:val="00AA1D8D"/>
    <w:pPr>
      <w:spacing w:after="120"/>
    </w:pPr>
    <w:rPr>
      <w:sz w:val="16"/>
      <w:szCs w:val="16"/>
      <w:lang w:val="sv-SE" w:eastAsia="en-US" w:bidi="ar-SA"/>
    </w:rPr>
  </w:style>
  <w:style w:type="character" w:customStyle="1" w:styleId="BodyText3Char">
    <w:name w:val="Body Text 3 Char"/>
    <w:basedOn w:val="DefaultParagraphFont"/>
    <w:link w:val="BodyText3"/>
    <w:uiPriority w:val="99"/>
    <w:rsid w:val="00AA1D8D"/>
    <w:rPr>
      <w:sz w:val="16"/>
      <w:szCs w:val="16"/>
      <w:lang w:val="sv-SE" w:eastAsia="en-US" w:bidi="ar-SA"/>
    </w:rPr>
  </w:style>
  <w:style w:type="paragraph" w:styleId="List">
    <w:name w:val="List"/>
    <w:basedOn w:val="Normal"/>
    <w:uiPriority w:val="99"/>
    <w:unhideWhenUsed/>
    <w:rsid w:val="00AA1D8D"/>
    <w:pPr>
      <w:ind w:left="360" w:hanging="360"/>
      <w:contextualSpacing/>
    </w:pPr>
    <w:rPr>
      <w:lang w:val="sv-SE" w:eastAsia="en-US" w:bidi="ar-SA"/>
    </w:rPr>
  </w:style>
  <w:style w:type="paragraph" w:styleId="List2">
    <w:name w:val="List 2"/>
    <w:basedOn w:val="Normal"/>
    <w:uiPriority w:val="99"/>
    <w:unhideWhenUsed/>
    <w:rsid w:val="00326F90"/>
    <w:pPr>
      <w:ind w:left="720" w:hanging="360"/>
      <w:contextualSpacing/>
    </w:pPr>
    <w:rPr>
      <w:lang w:val="sv-SE" w:eastAsia="en-US" w:bidi="ar-SA"/>
    </w:rPr>
  </w:style>
  <w:style w:type="paragraph" w:styleId="List3">
    <w:name w:val="List 3"/>
    <w:basedOn w:val="Normal"/>
    <w:uiPriority w:val="99"/>
    <w:unhideWhenUsed/>
    <w:rsid w:val="00326F90"/>
    <w:pPr>
      <w:ind w:left="1080" w:hanging="360"/>
      <w:contextualSpacing/>
    </w:pPr>
    <w:rPr>
      <w:lang w:val="sv-SE" w:eastAsia="en-US" w:bidi="ar-SA"/>
    </w:rPr>
  </w:style>
  <w:style w:type="paragraph" w:styleId="ListBullet">
    <w:name w:val="List Bullet"/>
    <w:basedOn w:val="Normal"/>
    <w:uiPriority w:val="99"/>
    <w:unhideWhenUsed/>
    <w:rsid w:val="00326F90"/>
    <w:pPr>
      <w:numPr>
        <w:numId w:val="1"/>
      </w:numPr>
      <w:contextualSpacing/>
    </w:pPr>
    <w:rPr>
      <w:lang w:val="sv-SE" w:eastAsia="en-US" w:bidi="ar-SA"/>
    </w:rPr>
  </w:style>
  <w:style w:type="paragraph" w:styleId="ListBullet2">
    <w:name w:val="List Bullet 2"/>
    <w:basedOn w:val="Normal"/>
    <w:uiPriority w:val="99"/>
    <w:unhideWhenUsed/>
    <w:rsid w:val="00326F90"/>
    <w:pPr>
      <w:numPr>
        <w:numId w:val="2"/>
      </w:numPr>
      <w:contextualSpacing/>
    </w:pPr>
    <w:rPr>
      <w:lang w:val="sv-SE" w:eastAsia="en-US" w:bidi="ar-SA"/>
    </w:rPr>
  </w:style>
  <w:style w:type="paragraph" w:styleId="ListBullet3">
    <w:name w:val="List Bullet 3"/>
    <w:basedOn w:val="Normal"/>
    <w:uiPriority w:val="99"/>
    <w:unhideWhenUsed/>
    <w:rsid w:val="00326F90"/>
    <w:pPr>
      <w:numPr>
        <w:numId w:val="3"/>
      </w:numPr>
      <w:contextualSpacing/>
    </w:pPr>
    <w:rPr>
      <w:lang w:val="sv-SE" w:eastAsia="en-US" w:bidi="ar-SA"/>
    </w:rPr>
  </w:style>
  <w:style w:type="paragraph" w:styleId="ListNumber">
    <w:name w:val="List Number"/>
    <w:basedOn w:val="Normal"/>
    <w:uiPriority w:val="99"/>
    <w:unhideWhenUsed/>
    <w:rsid w:val="00326F90"/>
    <w:pPr>
      <w:numPr>
        <w:numId w:val="5"/>
      </w:numPr>
      <w:contextualSpacing/>
    </w:pPr>
    <w:rPr>
      <w:lang w:val="sv-SE" w:eastAsia="en-US" w:bidi="ar-SA"/>
    </w:rPr>
  </w:style>
  <w:style w:type="paragraph" w:styleId="ListNumber2">
    <w:name w:val="List Number 2"/>
    <w:basedOn w:val="Normal"/>
    <w:uiPriority w:val="99"/>
    <w:unhideWhenUsed/>
    <w:rsid w:val="0029639D"/>
    <w:pPr>
      <w:numPr>
        <w:numId w:val="6"/>
      </w:numPr>
      <w:contextualSpacing/>
    </w:pPr>
    <w:rPr>
      <w:lang w:val="sv-SE" w:eastAsia="en-US" w:bidi="ar-SA"/>
    </w:rPr>
  </w:style>
  <w:style w:type="paragraph" w:styleId="ListNumber3">
    <w:name w:val="List Number 3"/>
    <w:basedOn w:val="Normal"/>
    <w:uiPriority w:val="99"/>
    <w:unhideWhenUsed/>
    <w:rsid w:val="0029639D"/>
    <w:pPr>
      <w:numPr>
        <w:numId w:val="7"/>
      </w:numPr>
      <w:contextualSpacing/>
    </w:pPr>
    <w:rPr>
      <w:lang w:val="sv-SE" w:eastAsia="en-US" w:bidi="ar-SA"/>
    </w:rPr>
  </w:style>
  <w:style w:type="paragraph" w:styleId="ListContinue">
    <w:name w:val="List Continue"/>
    <w:basedOn w:val="Normal"/>
    <w:uiPriority w:val="99"/>
    <w:unhideWhenUsed/>
    <w:rsid w:val="0029639D"/>
    <w:pPr>
      <w:spacing w:after="120"/>
      <w:ind w:left="360"/>
      <w:contextualSpacing/>
    </w:pPr>
    <w:rPr>
      <w:lang w:val="sv-SE" w:eastAsia="en-US" w:bidi="ar-SA"/>
    </w:rPr>
  </w:style>
  <w:style w:type="paragraph" w:styleId="ListContinue2">
    <w:name w:val="List Continue 2"/>
    <w:basedOn w:val="Normal"/>
    <w:uiPriority w:val="99"/>
    <w:unhideWhenUsed/>
    <w:rsid w:val="0029639D"/>
    <w:pPr>
      <w:spacing w:after="120"/>
      <w:ind w:left="720"/>
      <w:contextualSpacing/>
    </w:pPr>
    <w:rPr>
      <w:lang w:val="sv-SE" w:eastAsia="en-US" w:bidi="ar-SA"/>
    </w:rPr>
  </w:style>
  <w:style w:type="paragraph" w:styleId="ListContinue3">
    <w:name w:val="List Continue 3"/>
    <w:basedOn w:val="Normal"/>
    <w:uiPriority w:val="99"/>
    <w:unhideWhenUsed/>
    <w:rsid w:val="0029639D"/>
    <w:pPr>
      <w:spacing w:after="120"/>
      <w:ind w:left="1080"/>
      <w:contextualSpacing/>
    </w:pPr>
    <w:rPr>
      <w:lang w:val="sv-SE" w:eastAsia="en-US" w:bidi="ar-SA"/>
    </w:r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lang w:val="sv-SE" w:eastAsia="en-US" w:bidi="ar-SA"/>
    </w:rPr>
  </w:style>
  <w:style w:type="character" w:customStyle="1" w:styleId="MacroTextChar">
    <w:name w:val="Macro Text Char"/>
    <w:basedOn w:val="DefaultParagraphFont"/>
    <w:link w:val="MacroText"/>
    <w:uiPriority w:val="99"/>
    <w:rsid w:val="0029639D"/>
    <w:rPr>
      <w:rFonts w:ascii="Courier" w:hAnsi="Courier"/>
      <w:sz w:val="20"/>
      <w:szCs w:val="20"/>
      <w:lang w:val="sv-SE" w:eastAsia="en-US" w:bidi="ar-SA"/>
    </w:rPr>
  </w:style>
  <w:style w:type="paragraph" w:styleId="Quote">
    <w:name w:val="Quote"/>
    <w:basedOn w:val="Normal"/>
    <w:next w:val="Normal"/>
    <w:link w:val="QuoteChar"/>
    <w:uiPriority w:val="29"/>
    <w:qFormat/>
    <w:rsid w:val="00FC693F"/>
    <w:rPr>
      <w:i/>
      <w:iCs/>
      <w:color w:val="000000" w:themeColor="text1"/>
      <w:lang w:val="sv-SE" w:eastAsia="en-US" w:bidi="ar-SA"/>
    </w:rPr>
  </w:style>
  <w:style w:type="character" w:customStyle="1" w:styleId="QuoteChar">
    <w:name w:val="Quote Char"/>
    <w:basedOn w:val="DefaultParagraphFont"/>
    <w:link w:val="Quote"/>
    <w:uiPriority w:val="29"/>
    <w:rsid w:val="00FC693F"/>
    <w:rPr>
      <w:i/>
      <w:iCs/>
      <w:color w:val="000000" w:themeColor="text1"/>
      <w:lang w:val="sv-SE" w:eastAsia="en-US" w:bidi="ar-SA"/>
    </w:rPr>
  </w:style>
  <w:style w:type="character" w:customStyle="1" w:styleId="Heading4Char">
    <w:name w:val="Heading 4 Char"/>
    <w:basedOn w:val="DefaultParagraphFont"/>
    <w:link w:val="Heading4"/>
    <w:uiPriority w:val="9"/>
    <w:rsid w:val="007106C8"/>
    <w:rPr>
      <w:rFonts w:ascii="Times New Roman" w:eastAsiaTheme="majorEastAsia" w:hAnsi="Times New Roman" w:cstheme="majorBidi"/>
      <w:bCs/>
      <w:iCs/>
      <w:lang w:val="sv-SE" w:eastAsia="en-US" w:bidi="ar-SA"/>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lang w:val="sv-SE" w:eastAsia="en-US" w:bidi="ar-SA"/>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lang w:val="sv-SE" w:eastAsia="en-US" w:bidi="ar-SA"/>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lang w:val="sv-SE" w:eastAsia="en-US" w:bidi="ar-SA"/>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lang w:val="sv-SE" w:eastAsia="en-US" w:bidi="ar-SA"/>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lang w:val="sv-SE" w:eastAsia="en-US" w:bidi="ar-SA"/>
    </w:rPr>
  </w:style>
  <w:style w:type="paragraph" w:styleId="Caption">
    <w:name w:val="caption"/>
    <w:basedOn w:val="Normal"/>
    <w:next w:val="Normal"/>
    <w:uiPriority w:val="35"/>
    <w:unhideWhenUsed/>
    <w:qFormat/>
    <w:rsid w:val="00ED360C"/>
    <w:pPr>
      <w:spacing w:after="80" w:line="240" w:lineRule="auto"/>
    </w:pPr>
    <w:rPr>
      <w:bCs/>
      <w:sz w:val="18"/>
      <w:szCs w:val="18"/>
      <w:lang w:val="sv-SE" w:eastAsia="en-US" w:bidi="ar-SA"/>
    </w:rPr>
  </w:style>
  <w:style w:type="character" w:styleId="Strong">
    <w:name w:val="Strong"/>
    <w:basedOn w:val="DefaultParagraphFont"/>
    <w:uiPriority w:val="22"/>
    <w:qFormat/>
    <w:rsid w:val="00FC693F"/>
    <w:rPr>
      <w:b/>
      <w:bCs/>
      <w:lang w:val="sv-SE" w:eastAsia="en-US" w:bidi="ar-SA"/>
    </w:rPr>
  </w:style>
  <w:style w:type="character" w:styleId="Emphasis">
    <w:name w:val="Emphasis"/>
    <w:basedOn w:val="DefaultParagraphFont"/>
    <w:uiPriority w:val="20"/>
    <w:qFormat/>
    <w:rsid w:val="00FC693F"/>
    <w:rPr>
      <w:i/>
      <w:iCs/>
      <w:lang w:val="sv-SE" w:eastAsia="en-US" w:bidi="ar-SA"/>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lang w:val="sv-SE" w:eastAsia="en-US" w:bidi="ar-SA"/>
    </w:rPr>
  </w:style>
  <w:style w:type="character" w:customStyle="1" w:styleId="IntenseQuoteChar">
    <w:name w:val="Intense Quote Char"/>
    <w:basedOn w:val="DefaultParagraphFont"/>
    <w:link w:val="IntenseQuote"/>
    <w:uiPriority w:val="30"/>
    <w:rsid w:val="00FC693F"/>
    <w:rPr>
      <w:b/>
      <w:bCs/>
      <w:i/>
      <w:iCs/>
      <w:color w:val="4F81BD" w:themeColor="accent1"/>
      <w:lang w:val="sv-SE" w:eastAsia="en-US" w:bidi="ar-SA"/>
    </w:rPr>
  </w:style>
  <w:style w:type="character" w:styleId="SubtleEmphasis">
    <w:name w:val="Subtle Emphasis"/>
    <w:basedOn w:val="DefaultParagraphFont"/>
    <w:uiPriority w:val="19"/>
    <w:qFormat/>
    <w:rsid w:val="00FC693F"/>
    <w:rPr>
      <w:i/>
      <w:iCs/>
      <w:color w:val="808080" w:themeColor="text1" w:themeTint="7F"/>
      <w:lang w:val="sv-SE" w:eastAsia="en-US" w:bidi="ar-SA"/>
    </w:rPr>
  </w:style>
  <w:style w:type="character" w:styleId="IntenseEmphasis">
    <w:name w:val="Intense Emphasis"/>
    <w:basedOn w:val="DefaultParagraphFont"/>
    <w:uiPriority w:val="21"/>
    <w:qFormat/>
    <w:rsid w:val="00FC693F"/>
    <w:rPr>
      <w:b/>
      <w:bCs/>
      <w:i/>
      <w:iCs/>
      <w:color w:val="4F81BD" w:themeColor="accent1"/>
      <w:lang w:val="sv-SE" w:eastAsia="en-US" w:bidi="ar-SA"/>
    </w:rPr>
  </w:style>
  <w:style w:type="character" w:styleId="SubtleReference">
    <w:name w:val="Subtle Reference"/>
    <w:basedOn w:val="DefaultParagraphFont"/>
    <w:uiPriority w:val="31"/>
    <w:qFormat/>
    <w:rsid w:val="00FC693F"/>
    <w:rPr>
      <w:smallCaps/>
      <w:color w:val="C0504D" w:themeColor="accent2"/>
      <w:u w:val="single"/>
      <w:lang w:val="sv-SE" w:eastAsia="en-US" w:bidi="ar-SA"/>
    </w:rPr>
  </w:style>
  <w:style w:type="character" w:styleId="IntenseReference">
    <w:name w:val="Intense Reference"/>
    <w:basedOn w:val="DefaultParagraphFont"/>
    <w:uiPriority w:val="32"/>
    <w:qFormat/>
    <w:rsid w:val="00FC693F"/>
    <w:rPr>
      <w:b/>
      <w:bCs/>
      <w:smallCaps/>
      <w:color w:val="C0504D" w:themeColor="accent2"/>
      <w:spacing w:val="5"/>
      <w:u w:val="single"/>
      <w:lang w:val="sv-SE" w:eastAsia="en-US" w:bidi="ar-SA"/>
    </w:rPr>
  </w:style>
  <w:style w:type="character" w:styleId="BookTitle">
    <w:name w:val="Book Title"/>
    <w:basedOn w:val="DefaultParagraphFont"/>
    <w:uiPriority w:val="33"/>
    <w:qFormat/>
    <w:rsid w:val="00FC693F"/>
    <w:rPr>
      <w:b/>
      <w:bCs/>
      <w:smallCaps/>
      <w:spacing w:val="5"/>
      <w:lang w:val="sv-SE" w:eastAsia="en-US" w:bidi="ar-SA"/>
    </w:rPr>
  </w:style>
  <w:style w:type="paragraph" w:styleId="TOCHeading">
    <w:name w:val="TOC Heading"/>
    <w:basedOn w:val="Heading1"/>
    <w:next w:val="Normal"/>
    <w:uiPriority w:val="39"/>
    <w:semiHidden/>
    <w:unhideWhenUsed/>
    <w:qFormat/>
    <w:rsid w:val="00FC693F"/>
    <w:pPr>
      <w:outlineLvl w:val="9"/>
    </w:pPr>
    <w:rPr>
      <w:lang w:val="sv-SE" w:eastAsia="en-US" w:bidi="ar-SA"/>
    </w:rPr>
  </w:style>
  <w:style w:type="table" w:styleId="TableGrid">
    <w:name w:val="Table Grid"/>
    <w:basedOn w:val="TableNormal"/>
    <w:uiPriority w:val="59"/>
    <w:rsid w:val="00FC693F"/>
    <w:pPr>
      <w:spacing w:after="0" w:line="240" w:lineRule="auto"/>
    </w:pPr>
    <w:rPr>
      <w:lang w:val="sv-SE" w:eastAsia="en-US" w:bidi="ar-SA"/>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styleId="LightShading">
    <w:name w:val="Light Shading"/>
    <w:basedOn w:val="TableNormal"/>
    <w:uiPriority w:val="60"/>
    <w:rsid w:val="00FC693F"/>
    <w:pPr>
      <w:spacing w:after="0" w:line="240" w:lineRule="auto"/>
    </w:pPr>
    <w:rPr>
      <w:color w:val="000000" w:themeColor="text1" w:themeShade="BF"/>
      <w:lang w:val="sv-SE" w:eastAsia="en-US" w:bidi="ar-SA"/>
    </w:rPr>
    <w:tblPr>
      <w:tblStyleRowBandSize w:val="1"/>
      <w:tblStyleColBandSize w:val="1"/>
      <w:tblBorders>
        <w:top w:val="single" w:sz="8" w:space="0" w:color="000000" w:themeColor="text1"/>
        <w:bottom w:val="single" w:sz="8" w:space="0" w:color="000000" w:themeColor="text1"/>
      </w:tblBorders>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lang w:val="sv-SE" w:eastAsia="en-US" w:bidi="ar-SA"/>
    </w:rPr>
    <w:tblPr>
      <w:tblStyleRowBandSize w:val="1"/>
      <w:tblStyleColBandSize w:val="1"/>
      <w:tblBorders>
        <w:top w:val="single" w:sz="8" w:space="0" w:color="4F81BD" w:themeColor="accent1"/>
        <w:bottom w:val="single" w:sz="8" w:space="0" w:color="4F81BD" w:themeColor="accent1"/>
      </w:tblBorders>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lang w:val="sv-SE" w:eastAsia="en-US" w:bidi="ar-SA"/>
    </w:rPr>
    <w:tblPr>
      <w:tblStyleRowBandSize w:val="1"/>
      <w:tblStyleColBandSize w:val="1"/>
      <w:tblBorders>
        <w:top w:val="single" w:sz="8" w:space="0" w:color="C0504D" w:themeColor="accent2"/>
        <w:bottom w:val="single" w:sz="8" w:space="0" w:color="C0504D" w:themeColor="accent2"/>
      </w:tblBorders>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lang w:val="sv-SE" w:eastAsia="en-US" w:bidi="ar-SA"/>
    </w:rPr>
    <w:tblPr>
      <w:tblStyleRowBandSize w:val="1"/>
      <w:tblStyleColBandSize w:val="1"/>
      <w:tblBorders>
        <w:top w:val="single" w:sz="8" w:space="0" w:color="9BBB59" w:themeColor="accent3"/>
        <w:bottom w:val="single" w:sz="8" w:space="0" w:color="9BBB59" w:themeColor="accent3"/>
      </w:tblBorders>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lang w:val="sv-SE" w:eastAsia="en-US" w:bidi="ar-SA"/>
    </w:rPr>
    <w:tblPr>
      <w:tblStyleRowBandSize w:val="1"/>
      <w:tblStyleColBandSize w:val="1"/>
      <w:tblBorders>
        <w:top w:val="single" w:sz="8" w:space="0" w:color="8064A2" w:themeColor="accent4"/>
        <w:bottom w:val="single" w:sz="8" w:space="0" w:color="8064A2" w:themeColor="accent4"/>
      </w:tblBorders>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lang w:val="sv-SE" w:eastAsia="en-US" w:bidi="ar-SA"/>
    </w:rPr>
    <w:tblPr>
      <w:tblStyleRowBandSize w:val="1"/>
      <w:tblStyleColBandSize w:val="1"/>
      <w:tblBorders>
        <w:top w:val="single" w:sz="8" w:space="0" w:color="4BACC6" w:themeColor="accent5"/>
        <w:bottom w:val="single" w:sz="8" w:space="0" w:color="4BACC6" w:themeColor="accent5"/>
      </w:tblBorders>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lang w:val="sv-SE" w:eastAsia="en-US" w:bidi="ar-SA"/>
    </w:rPr>
    <w:tblPr>
      <w:tblStyleRowBandSize w:val="1"/>
      <w:tblStyleColBandSize w:val="1"/>
      <w:tblBorders>
        <w:top w:val="single" w:sz="8" w:space="0" w:color="F79646" w:themeColor="accent6"/>
        <w:bottom w:val="single" w:sz="8" w:space="0" w:color="F79646" w:themeColor="accent6"/>
      </w:tblBorders>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rPr>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rPr>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rPr>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rPr>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rPr>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rPr>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rPr>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rPr>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rPr>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rPr>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rPr>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rPr>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rPr>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rPr>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rPr>
      <w:lang w:val="sv-SE" w:eastAsia="en-US" w:bidi="ar-SA"/>
    </w:r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rPr>
      <w:lang w:val="sv-SE" w:eastAsia="en-US" w:bidi="ar-SA"/>
    </w:r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rPr>
      <w:lang w:val="sv-SE" w:eastAsia="en-US" w:bidi="ar-SA"/>
    </w:r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rPr>
      <w:lang w:val="sv-SE" w:eastAsia="en-US" w:bidi="ar-SA"/>
    </w:r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rPr>
      <w:lang w:val="sv-SE" w:eastAsia="en-US" w:bidi="ar-SA"/>
    </w:r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rPr>
      <w:lang w:val="sv-SE" w:eastAsia="en-US" w:bidi="ar-SA"/>
    </w:r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rPr>
      <w:lang w:val="sv-SE" w:eastAsia="en-US" w:bidi="ar-SA"/>
    </w:r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000000" w:themeColor="text1"/>
        <w:bottom w:val="single" w:sz="8" w:space="0" w:color="000000" w:themeColor="text1"/>
      </w:tblBorders>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4F81BD" w:themeColor="accent1"/>
        <w:bottom w:val="single" w:sz="8" w:space="0" w:color="4F81BD" w:themeColor="accent1"/>
      </w:tblBorders>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C0504D" w:themeColor="accent2"/>
        <w:bottom w:val="single" w:sz="8" w:space="0" w:color="C0504D" w:themeColor="accent2"/>
      </w:tblBorders>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9BBB59" w:themeColor="accent3"/>
        <w:bottom w:val="single" w:sz="8" w:space="0" w:color="9BBB59" w:themeColor="accent3"/>
      </w:tblBorders>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8064A2" w:themeColor="accent4"/>
        <w:bottom w:val="single" w:sz="8" w:space="0" w:color="8064A2" w:themeColor="accent4"/>
      </w:tblBorders>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4BACC6" w:themeColor="accent5"/>
        <w:bottom w:val="single" w:sz="8" w:space="0" w:color="4BACC6" w:themeColor="accent5"/>
      </w:tblBorders>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F79646" w:themeColor="accent6"/>
        <w:bottom w:val="single" w:sz="8" w:space="0" w:color="F79646" w:themeColor="accent6"/>
      </w:tblBorders>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rPr>
      <w:lang w:val="sv-SE" w:eastAsia="en-US" w:bidi="ar-SA"/>
    </w:r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rPr>
      <w:lang w:val="sv-SE" w:eastAsia="en-US" w:bidi="ar-SA"/>
    </w:r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rPr>
      <w:lang w:val="sv-SE" w:eastAsia="en-US" w:bidi="ar-SA"/>
    </w:r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rPr>
      <w:lang w:val="sv-SE" w:eastAsia="en-US" w:bidi="ar-SA"/>
    </w:r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rPr>
      <w:lang w:val="sv-SE" w:eastAsia="en-US" w:bidi="ar-SA"/>
    </w:r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rPr>
      <w:lang w:val="sv-SE" w:eastAsia="en-US" w:bidi="ar-SA"/>
    </w:r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rPr>
      <w:lang w:val="sv-SE" w:eastAsia="en-US" w:bidi="ar-SA"/>
    </w:r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allowPNG/>
</w:webSettings>
</file>

<file path=word/_rels/document.xml.rels><?xml version='1.0' encoding='UTF-8' standalone='yes'?>
<Relationships xmlns="http://schemas.openxmlformats.org/package/2006/relationships"><Relationship Id="rId8" Type="http://schemas.openxmlformats.org/officeDocument/2006/relationships/header" Target="header1.xml"/><Relationship Id="rId13" Type="http://schemas.openxmlformats.org/officeDocument/2006/relationships/footer" Target="footer3.xml"/><Relationship Id="rId3" Type="http://schemas.openxmlformats.org/officeDocument/2006/relationships/styles" Target="styles.xml"/><Relationship Id="rId7" Type="http://schemas.openxmlformats.org/officeDocument/2006/relationships/endnotes" Target="endnotes.xml"/><Relationship Id="rId12" Type="http://schemas.openxmlformats.org/officeDocument/2006/relationships/header" Target="header3.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footer" Target="footer2.xml"/><Relationship Id="rId5" Type="http://schemas.openxmlformats.org/officeDocument/2006/relationships/webSettings" Target="webSettings.xml"/><Relationship Id="rId15" Type="http://schemas.openxmlformats.org/officeDocument/2006/relationships/theme" Target="theme/theme1.xml"/><Relationship Id="rId10" Type="http://schemas.openxmlformats.org/officeDocument/2006/relationships/footer" Target="footer1.xml"/><Relationship Id="rId4" Type="http://schemas.openxmlformats.org/officeDocument/2006/relationships/settings" Target="settings.xml"/><Relationship Id="rId9" Type="http://schemas.openxmlformats.org/officeDocument/2006/relationships/header" Target="header2.xml"/><Relationship Id="rId14" Type="http://schemas.openxmlformats.org/officeDocument/2006/relationships/fontTable" Target="fontTable.xml"/><Relationship Id="rId16" Type="http://schemas.openxmlformats.org/officeDocument/2006/relationships/image" Target="media/image1.png"/><Relationship Id="rId17" Type="http://schemas.openxmlformats.org/officeDocument/2006/relationships/image" Target="media/image2.jpe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10</TotalTime>
  <Pages>1</Pages>
  <Words>0</Words>
  <Characters>0</Characters>
  <Application>Microsoft Office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Klas Magnusson</cp:lastModifiedBy>
  <cp:revision>7</cp:revision>
  <dcterms:created xsi:type="dcterms:W3CDTF">2023-02-11T00:19:00Z</dcterms:created>
  <dcterms:modified xsi:type="dcterms:W3CDTF">2026-06-12T21:55:00Z</dcterms:modified>
  <cp:category/>
</cp:coreProperties>
</file>