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448-2025 i Krokoms kommun</w:t>
      </w:r>
    </w:p>
    <w:p>
      <w:r>
        <w:t>Detta klagomål behandlar höga naturvärden i samrådsanmälan S 448-2025 i Krokoms kommun som inkom 2025-02-13 och omfattar 780,6 ha.</w:t>
      </w:r>
    </w:p>
    <w:p>
      <w:pPr>
        <w:pStyle w:val="Caption"/>
      </w:pPr>
      <w:r>
        <w:drawing>
          <wp:inline xmlns:a="http://schemas.openxmlformats.org/drawingml/2006/main" xmlns:pic="http://schemas.openxmlformats.org/drawingml/2006/picture">
            <wp:extent cx="5486400" cy="3484321"/>
            <wp:docPr id="1" name="Picture 1"/>
            <wp:cNvGraphicFramePr>
              <a:graphicFrameLocks noChangeAspect="1"/>
            </wp:cNvGraphicFramePr>
            <a:graphic>
              <a:graphicData uri="http://schemas.openxmlformats.org/drawingml/2006/picture">
                <pic:pic>
                  <pic:nvPicPr>
                    <pic:cNvPr id="0" name="S 448-2025 karta.png"/>
                    <pic:cNvPicPr/>
                  </pic:nvPicPr>
                  <pic:blipFill>
                    <a:blip r:embed="rId16"/>
                    <a:stretch>
                      <a:fillRect/>
                    </a:stretch>
                  </pic:blipFill>
                  <pic:spPr>
                    <a:xfrm>
                      <a:off x="0" y="0"/>
                      <a:ext cx="5486400" cy="348432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7020519, E 465673 i SWEREF 99 TM.</w:t>
      </w:r>
    </w:p>
    <w:p>
      <w:r>
        <w:t>I och inom 25 meter från samrådsanmälan finns fynd av 73 naturvårdsarter, varav 43 är rödlistade, 31 är fridlysta, 28 är typiska (T) och 16 är signalarter (S): fjällfotad fingersvamp (EN), trolldruvemätare (EN), Agathidium pallidum (VU), blackticka (VU), bredgentiana (VU, §8), Calycina lobariae (VU), doftticka (VU, T, §8), garnlav (VU, T), hussvala (VU, §4), knärot (VU, T, §8), luddig stiftdynlav (VU), smalskaftslav (VU), sprickporing (VU), violett guldvinge (VU, §4a), barkporlav (NT), björktrast (NT, §4), brunklöver (NT), doftskinn (NT, T), duvhök (NT, §4), gulbandad brunbagge (NT), göktyta (NT, §4), harticka (NT, T), höstlåsbräken (NT, §8), järnsparv (NT, §4), ladusvala (NT, §4), lavskrika (NT, T, §4), liten svartspik (NT), lunglav (NT, T), månlåsbräken (NT), nordlig nållav (NT), rosa skärelav (NT, T), rosenticka (NT, T), skogsfru (NT, §8), skrovellav (NT, T), slåtterfibbla (NT, T), smal trollknäppare (NT), stiftgelélav (NT, T), stjärntagging (NT, T), talltita (NT, §4), tretåig hackspett (NT, T, §4), ullticka (NT, T), vitgrynig nållav (NT), äggvaxskivling (NT), aspvedgnagare (S), Dorcatoma dresdensis (S), finbräken (S, T), grönkulla (S, T, §8), gulnål (S, T), korallblylav (S, T), robust tickgnagare (S), skinnlav (S, T), stuplav (S, T), svart trolldruva (S, T), svavelriska (S), tibast (S, T), tvåblad (S, §8), vanlig flatbagge (S, T), vitvaxing agg. (S), ängsvaxing agg. (S), blåsippa (T, §9), mattlummer (T, §9), spillkråka (T, §4), tjäder (T, §4), buskskvätta (§4), orre (§4), utter (§4a), ärtsångare (§4), vanlig padda (§6), brudsporre (§8), fläcknycklar (§8),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547881"/>
            <wp:docPr id="2" name="Picture 2"/>
            <wp:cNvGraphicFramePr>
              <a:graphicFrameLocks noChangeAspect="1"/>
            </wp:cNvGraphicFramePr>
            <a:graphic>
              <a:graphicData uri="http://schemas.openxmlformats.org/drawingml/2006/picture">
                <pic:pic>
                  <pic:nvPicPr>
                    <pic:cNvPr id="0" name="S 448-2025 karta knärot.png"/>
                    <pic:cNvPicPr/>
                  </pic:nvPicPr>
                  <pic:blipFill>
                    <a:blip r:embed="rId17"/>
                    <a:stretch>
                      <a:fillRect/>
                    </a:stretch>
                  </pic:blipFill>
                  <pic:spPr>
                    <a:xfrm>
                      <a:off x="0" y="0"/>
                      <a:ext cx="5486400" cy="15478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7020519, E 465673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73 naturvårdsarter varav 43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