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394-2025 i Krokoms kommun</w:t>
      </w:r>
    </w:p>
    <w:p>
      <w:r>
        <w:t>Detta klagomål behandlar höga naturvärden i avverkningsanmälan A 394-2025 i Krokoms kommun som inkom 2025-01-06 och omfattar 15,1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394-2025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7056641, E 480150 i SWEREF 99 TM.</w:t>
      </w:r>
    </w:p>
    <w:p>
      <w:r>
        <w:t>I avverkningsanmälan finns fynd av 14 naturvårdsarter, varav 13 är rödlistade, 4 är fridlysta och 9 är typiska (T): garnlav (VU, T), gräddticka (VU), sprickporing (VU), vitskaftad svartspik (VU, T), doftskinn (NT, T), gammelgransskål (NT, T), lavskrika (NT, T, §4), lunglav (NT, T), mörk kolflarnlav (NT), talltita (NT, §4), tretåig hackspett (NT, T, §4), ullticka (NT, T), vitgrynig nållav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