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20169-2022 i Krokoms kommun</w:t>
      </w:r>
    </w:p>
    <w:p>
      <w:r>
        <w:t>Denna tillsynsbegäran behandlar höga naturvärden i avverkningsanmälan A 20169-2022 i Krokoms kommun som inkom 2022-05-17 och omfattar 33,6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20169-2022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7073408, E 456731 i SWEREF 99 TM.</w:t>
      </w:r>
    </w:p>
    <w:p>
      <w:r>
        <w:t>I och inom 23 meter från avverkningsanmälan finns fynd av 9 naturvårdsarter, varav 4 är rödlistade, 2 är fridlysta, 7 är typiska (T) och 5 är signalarter (S): skuggnål (VU), gammelgransskål (NT, T), tretåig hackspett (NT, T, §4), vitgrynig nållav (NT), bårdlav (S, T), källpraktmossa (S, T), rostfläck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tretåig hackspett (NT, T, §4), bårdlav (S, T), källpraktmossa (S, T), rostfläck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