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54906-2022 i Strömsunds kommun</w:t>
      </w:r>
    </w:p>
    <w:p>
      <w:r>
        <w:t>Detta dokument behandlar höga naturvärden i avverkningsanmälan A 54906-2022 i Strömsunds kommun. Denna avverkningsanmälan inkom 2022-11-21 och omfattar 20,9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13 naturvårdsarter hittats: finnstarr (VU, §8), ulltickeporing (VU), lunglav (NT), månlåsbräken (NT), tretåig hackspett (NT, §4), ullticka (NT), finbräken (S), gytterlav (S), korallrot (S, §8), kransrams (S), spindelblomster (S, §8), stuplav (S) och äkta lopplummer (§9).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63316"/>
            <wp:docPr id="1" name="Picture 1"/>
            <wp:cNvGraphicFramePr>
              <a:graphicFrameLocks noChangeAspect="1"/>
            </wp:cNvGraphicFramePr>
            <a:graphic>
              <a:graphicData uri="http://schemas.openxmlformats.org/drawingml/2006/picture">
                <pic:pic>
                  <pic:nvPicPr>
                    <pic:cNvPr id="0" name="A 54906-2022 karta.png"/>
                    <pic:cNvPicPr/>
                  </pic:nvPicPr>
                  <pic:blipFill>
                    <a:blip r:embed="rId16"/>
                    <a:stretch>
                      <a:fillRect/>
                    </a:stretch>
                  </pic:blipFill>
                  <pic:spPr>
                    <a:xfrm>
                      <a:off x="0" y="0"/>
                      <a:ext cx="5486400" cy="59633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7052135, E 506179 i SWEREF 99 TM.</w:t>
      </w:r>
    </w:p>
    <w:p>
      <w:r>
        <w:rPr>
          <w:b/>
        </w:rPr>
        <w:t>Finbräken</w:t>
      </w:r>
      <w:r>
        <w:t xml:space="preserve"> växer på kalkrika marker i frisk eller fuktig mulljord. Den kräver konstant hög luftfuktighet och är mycket känslig för skogsbruksåtgärder. Arten är placerad högst upp i Skogsstyrelsens värdepyramid för bedömning av skog med höga naturvärden och utgör en karaktärsart för de mest skyddsvärda kalkgranskogarna med långvarig ekologisk kontinuitet och högt skyddsvärde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pPr>
        <w:pStyle w:val="Heading1"/>
      </w:pPr>
      <w:r>
        <w:t>Fridlysta arter</w:t>
      </w:r>
    </w:p>
    <w:p>
      <w:r>
        <w:t>Följande fridlysta arter har sina livsmiljöer och växtplatser i den avverkningsanmälda skogen: finnstarr (VU, §8), tretåig hackspett (NT, §4), korallrot (S, §8), spindelblomster (S, §8) och äkta lopplummer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t xml:space="preserve">Ulltickeporingen har nyligen delats upp i tre olika arter: </w:t>
      </w:r>
      <w:r>
        <w:rPr>
          <w:i/>
        </w:rPr>
        <w:t xml:space="preserve">Skeletocutis brevispora </w:t>
      </w:r>
      <w:r>
        <w:t>(ulltickeporing)</w:t>
      </w:r>
      <w:r>
        <w:rPr>
          <w:i/>
        </w:rPr>
        <w:t>, Skeletocutis delicata och Skeletocutis exilis</w:t>
      </w:r>
      <w:r>
        <w:t xml:space="preserve"> (Miettinen &amp; Niemelä, 2018). Skeletocutis delicata och Skeletocutis exilis står för närvarande (2020) som ej bedömda i rödlistan.</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