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18948-2023 i Strömsunds kommun</w:t>
      </w:r>
    </w:p>
    <w:p>
      <w:r>
        <w:t>Detta dokument behandlar höga naturvärden i avverkningsanmälan A 18948-2023 i Strömsunds kommun. Denna avverkningsanmälan inkom 2023-04-27 00:00:00 och omfattar 24,9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9 naturvårdsarter hittats: gräddticka (VU), grantaggsvamp (NT), granticka (NT), harticka (NT), svartvit taggsvamp (NT), tretåig hackspett (NT, §4), fjällig taggsvamp s.str. (S), skarp dropptaggsvamp (S) och tjäder (§4).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131457"/>
            <wp:docPr id="1" name="Picture 1"/>
            <wp:cNvGraphicFramePr>
              <a:graphicFrameLocks noChangeAspect="1"/>
            </wp:cNvGraphicFramePr>
            <a:graphic>
              <a:graphicData uri="http://schemas.openxmlformats.org/drawingml/2006/picture">
                <pic:pic>
                  <pic:nvPicPr>
                    <pic:cNvPr id="0" name="A 18948-2023 karta.png"/>
                    <pic:cNvPicPr/>
                  </pic:nvPicPr>
                  <pic:blipFill>
                    <a:blip r:embed="rId16"/>
                    <a:stretch>
                      <a:fillRect/>
                    </a:stretch>
                  </pic:blipFill>
                  <pic:spPr>
                    <a:xfrm>
                      <a:off x="0" y="0"/>
                      <a:ext cx="5486400" cy="21314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7077443, E 521998 i SWEREF 99 TM.</w:t>
      </w:r>
    </w:p>
    <w:p>
      <w:r>
        <w:rPr>
          <w:b/>
        </w:rPr>
        <w:t xml:space="preserve">Grantaggsvamp (NT) </w:t>
      </w:r>
      <w:r>
        <w:t>påträffas främst i mossiga och örtrika äldre granskogar på kalkrik mark i något fuktiga lägen, och i norr även i mager tallskog med lång kontinuitet. Arten missgynnas generellt av trakthyggesbruket och en långsiktig tillgång till värdträd bör säkras genom att man undviker att avverka kända växtplatser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Gräddticka (VU)</w:t>
      </w:r>
      <w:r>
        <w:t xml:space="preserve"> har klassificerats som en ”gammelskogsindikator” och signalerar granskogar med höga naturvärden. Den kräver miljöer med hög och jämn fuktighet och växtplatserna ligger oftast på näringsrik, fuktig eller blöt mark där lågan och den murkna veden hålls konstant fuktig. Slutavverkning av gammelgranskog är ett direkt hot mot artens existens i landet och artens växtplatser måste undantas från skogsbruk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pPr>
        <w:pStyle w:val="Heading1"/>
      </w:pPr>
      <w:r>
        <w:t>Fridlysta arter</w:t>
      </w:r>
    </w:p>
    <w:p>
      <w:r>
        <w:t>Följande fridlysta arter har sina livsmiljöer och växtplatser i den avverkningsanmälda skogen: tretåig hackspett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