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47165-2023 i Strömsunds kommun</w:t>
      </w:r>
    </w:p>
    <w:p>
      <w:r>
        <w:t>Denna tillsynsbegäran behandlar höga naturvärden i avverkningsanmälan A 47165-2023 i Strömsunds kommun som inkom 2023-10-02 och omfattar 9,3 ha.</w:t>
      </w:r>
    </w:p>
    <w:p>
      <w:pPr>
        <w:pStyle w:val="Caption"/>
      </w:pPr>
      <w:r>
        <w:drawing>
          <wp:inline xmlns:a="http://schemas.openxmlformats.org/drawingml/2006/main" xmlns:pic="http://schemas.openxmlformats.org/drawingml/2006/picture">
            <wp:extent cx="5486400" cy="4542084"/>
            <wp:docPr id="1" name="Picture 1"/>
            <wp:cNvGraphicFramePr>
              <a:graphicFrameLocks noChangeAspect="1"/>
            </wp:cNvGraphicFramePr>
            <a:graphic>
              <a:graphicData uri="http://schemas.openxmlformats.org/drawingml/2006/picture">
                <pic:pic>
                  <pic:nvPicPr>
                    <pic:cNvPr id="0" name="A 47165-2023 karta.png"/>
                    <pic:cNvPicPr/>
                  </pic:nvPicPr>
                  <pic:blipFill>
                    <a:blip r:embed="rId16"/>
                    <a:stretch>
                      <a:fillRect/>
                    </a:stretch>
                  </pic:blipFill>
                  <pic:spPr>
                    <a:xfrm>
                      <a:off x="0" y="0"/>
                      <a:ext cx="5486400" cy="4542084"/>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7094001, E 560788 i SWEREF 99 TM.</w:t>
      </w:r>
    </w:p>
    <w:p>
      <w:r>
        <w:t>I och inom 19 meter från avverkningsanmälan finns fynd av 4 naturvårdsarter, varav 4 är rödlistade och 3 är typiska (T): lunglav (NT, T), vedtrappmossa (NT, T), violmussling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