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47027-2020 i Strömsunds kommun</w:t>
      </w:r>
    </w:p>
    <w:p>
      <w:r>
        <w:t>Detta dokument behandlar höga naturvärden i avverkningsanmälan A 47027-2020 i Strömsunds kommun. Denna avverkningsanmälan inkom 2020-09-22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djupsvart brunbagge (EN), aspbarkgnagare (NT), dvärgbägarlav (NT), garnlav (NT), kolflarnlav (NT), lunglav (NT), mörk kolflarnlav (NT), nordtagging (NT), skrovellav (NT), svartvit taggsvamp (NT), talltita (NT, §4), vaddporing (NT), vedflamlav (NT), bårdlav (S), dropptaggsvamp (S), luddlav (S), stuplav (S) och vedticka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82887"/>
            <wp:docPr id="1" name="Picture 1"/>
            <wp:cNvGraphicFramePr>
              <a:graphicFrameLocks noChangeAspect="1"/>
            </wp:cNvGraphicFramePr>
            <a:graphic>
              <a:graphicData uri="http://schemas.openxmlformats.org/drawingml/2006/picture">
                <pic:pic>
                  <pic:nvPicPr>
                    <pic:cNvPr id="0" name="A 47027-2020 karta.png"/>
                    <pic:cNvPicPr/>
                  </pic:nvPicPr>
                  <pic:blipFill>
                    <a:blip r:embed="rId16"/>
                    <a:stretch>
                      <a:fillRect/>
                    </a:stretch>
                  </pic:blipFill>
                  <pic:spPr>
                    <a:xfrm>
                      <a:off x="0" y="0"/>
                      <a:ext cx="5486400" cy="75828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7134863, E 503276 i SWEREF 99 TM.</w:t>
      </w:r>
    </w:p>
    <w:p>
      <w:r>
        <w:rPr>
          <w:b/>
        </w:rPr>
        <w:t>Aspbarkgnagare (NT)</w:t>
      </w:r>
      <w:r>
        <w:t xml:space="preserve">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2024).</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(Naturvårdsverket, 2010). Röjning, gallring och avverkning av asp i de landskapsområden där arten fortfarande förekommer är ett direkt hot mot artens långsiktiga överlevnad.</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Aspbarkgnagare – ekologi samt krav på livsmiljön</w:t>
      </w:r>
    </w:p>
    <w:p>
      <w:r>
        <w:t xml:space="preserve">Aspbarkgnagare (NT)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2024).</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(Naturvårdsverket, 2010). Röjning, gallring och avverkning av asp i de landskapsområden där arten fortfarande förekommer är ett direkt hot mot artens långsiktiga överlevnad.</w:t>
      </w:r>
    </w:p>
    <w:p>
      <w:pPr>
        <w:pStyle w:val="Heading2"/>
      </w:pPr>
      <w:r>
        <w:t>Referenser – aspbarkgnagare</w:t>
      </w:r>
    </w:p>
    <w:p>
      <w:r>
        <w:t xml:space="preserve">Naturvårdverket, 2010. </w:t>
      </w:r>
      <w:r>
        <w:rPr>
          <w:i/>
        </w:rPr>
        <w:t>Åtgärdsprogram för hotade arter på asp i Norrland 2010–2014</w:t>
      </w:r>
      <w:r>
        <w:t>. Rapport 6393. Juni 2010</w:t>
      </w:r>
    </w:p>
    <w:p>
      <w:r>
        <w:t xml:space="preserve">SLU Artdatabanken, 2024. </w:t>
      </w:r>
      <w:r>
        <w:rPr>
          <w:i/>
        </w:rPr>
        <w:t xml:space="preserve">Artfaktablad. Naturvård – artfakta. </w:t>
      </w:r>
      <w:r>
        <w:t>SLU Artdatabanken, Uppsala</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