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44773-2021 i Strömsunds kommun</w:t>
      </w:r>
    </w:p>
    <w:p>
      <w:r>
        <w:t>Detta klagomål behandlar höga naturvärden i avverkningsanmälan A 44773-2021 i Strömsunds kommun som inkom 2021-08-30 och omfattar 12,3 ha.</w:t>
      </w:r>
    </w:p>
    <w:p>
      <w:pPr>
        <w:pStyle w:val="Caption"/>
      </w:pPr>
      <w:r>
        <w:drawing>
          <wp:inline xmlns:a="http://schemas.openxmlformats.org/drawingml/2006/main" xmlns:pic="http://schemas.openxmlformats.org/drawingml/2006/picture">
            <wp:extent cx="5486400" cy="5399673"/>
            <wp:docPr id="1" name="Picture 1"/>
            <wp:cNvGraphicFramePr>
              <a:graphicFrameLocks noChangeAspect="1"/>
            </wp:cNvGraphicFramePr>
            <a:graphic>
              <a:graphicData uri="http://schemas.openxmlformats.org/drawingml/2006/picture">
                <pic:pic>
                  <pic:nvPicPr>
                    <pic:cNvPr id="0" name="A 44773-2021 karta.png"/>
                    <pic:cNvPicPr/>
                  </pic:nvPicPr>
                  <pic:blipFill>
                    <a:blip r:embed="rId16"/>
                    <a:stretch>
                      <a:fillRect/>
                    </a:stretch>
                  </pic:blipFill>
                  <pic:spPr>
                    <a:xfrm>
                      <a:off x="0" y="0"/>
                      <a:ext cx="5486400" cy="5399673"/>
                    </a:xfrm>
                    <a:prstGeom prst="rect"/>
                  </pic:spPr>
                </pic:pic>
              </a:graphicData>
            </a:graphic>
          </wp:inline>
        </w:drawing>
      </w:r>
    </w:p>
    <w:p>
      <w:pPr>
        <w:pStyle w:val="Caption"/>
        <w:spacing w:after="240"/>
      </w:pPr>
      <w:r>
        <w:t>Figur 1. Fyndplatser för naturvårdsarter i och inom 19 meter från avverkningsanmälan. Markörer utan svart kant är placerade på fyndplatsen. Markörer med svart kant är placerade vid sidan av fyndplatsen och har ett svart streck som visar fyndplatsens exakta position. Kartans mittpunktskoordinat är N 7060510, E 539286 i SWEREF 99 TM.</w:t>
      </w:r>
    </w:p>
    <w:p>
      <w:r>
        <w:t>I och inom 19 meter från avverkningsanmälan finns fynd av 3 naturvårdsarter, varav 2 är rödlistade, 2 är typiska (T) och 1 är signalart (S): allékantlav (VU), lunglav (NT, T) och skinnlav (S, T).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Allékantlav (VU)</w:t>
      </w:r>
      <w:r>
        <w:t xml:space="preserve"> är en skorplav som i norra Sverige växer på asp i barrskogar med hög luftfuktighet. I södra Sverige växer den på grova ädellövträd (oftast ask och alm) i ängs- och hagmark, i alléer, parker och på kyrkogårdar. Växtplatserna är öppna till halvöppna och ofta dammimpregnerade av en grusväg eller åker i närheten. I norra Sverige är avverkning av lövrika barrskogar och att det nyskapas få lövbrännor de största hoten. I södra och mellersta Sverige är det viktigt att nya lämpliga träd nyskapas i närheten av förekomster. Vidare bör dammimpregnering bibehållas om en sådan finns. I norra Sverige bör ett antal lokaler skyddas och avverkning av lövrika barrskogar undvikas (SLU Artdatabanken, 2025).</w:t>
      </w:r>
    </w:p>
    <w:p>
      <w:r>
        <w:rPr>
          <w:b/>
        </w:rPr>
        <w:t>Lunglav (NT)</w:t>
      </w:r>
      <w:r>
        <w:t xml:space="preserve"> är en av vårt lands främsta signalarter som överallt indikerar gamla lövträd, skogsbestånd med höga naturvärden och ekosystem med långskoglig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På lunglav kan de sällsynta lavparasiterna lunglavshårprick (CR), </w:t>
      </w:r>
      <w:r>
        <w:rPr>
          <w:i/>
        </w:rPr>
        <w:t>Abrothallus diederichii</w:t>
      </w:r>
      <w:r>
        <w:t xml:space="preserve"> (VU), </w:t>
      </w:r>
      <w:r>
        <w:rPr>
          <w:i/>
        </w:rPr>
        <w:t>Abrothallus lobariae</w:t>
      </w:r>
      <w:r>
        <w:t xml:space="preserve"> (VU), </w:t>
      </w:r>
      <w:r>
        <w:rPr>
          <w:i/>
        </w:rPr>
        <w:t>Calycina lobariae</w:t>
      </w:r>
      <w:r>
        <w:t xml:space="preserve"> (VU), lunglavsknapp (VU) och skrovelmössing (VU) påträffas. Lunglav är typisk art för </w:t>
      </w:r>
      <w:r>
        <w:rPr>
          <w:i/>
        </w:rPr>
        <w:t>9010 Taiga, 9020 Nordlig ädellövskog, 9110 Näringsfattig bokskog, 9130 Näringsrik bokskog, 9160 Näringsrik ekskog, 9180 Ädellövskog i branter, 9190 Näringsfattig ekskog, 9070 Trädklädd betesmark, 9040 Fjällbjörkskog</w:t>
      </w:r>
      <w:r>
        <w:t xml:space="preserve"> och</w:t>
      </w:r>
      <w:r>
        <w:rPr>
          <w:i/>
        </w:rPr>
        <w:t xml:space="preserve"> 6530 Lövängar</w:t>
      </w:r>
      <w:r>
        <w:t xml:space="preserve"> (SLU Artdatabanken, 2026; Nitare &amp; Skogsstyrelsen, 2019).</w:t>
      </w:r>
    </w:p>
    <w:p>
      <w:r>
        <w:rPr>
          <w:b/>
        </w:rPr>
        <w:t xml:space="preserve">Skinnlav </w:t>
      </w:r>
      <w:r>
        <w:t xml:space="preserve">förekommer på diverse lövträd, främst på gammal asp och sälg. Den påträffas främst i områden med lång kontinuitet av grova lövträd och signalerar skogsmark med höga naturvärden. På lokalerna förekommer som regel ett flertal andra ovanliga eller rödlistade lavar. I likhet med gelélavarna, etablerar sig skinnlaven i skogsmark på grova aspar i sena lövsuccessioner. Skinnlav är typisk art för </w:t>
      </w:r>
      <w:r>
        <w:rPr>
          <w:i/>
        </w:rPr>
        <w:t xml:space="preserve">9010 Taiga, 9020 Nordlig ädellövskog </w:t>
      </w:r>
      <w:r>
        <w:t xml:space="preserve">och </w:t>
      </w:r>
      <w:r>
        <w:rPr>
          <w:i/>
        </w:rPr>
        <w:t xml:space="preserve">9070 Trädklädd betesmark </w:t>
      </w:r>
      <w:r>
        <w:t>(Nitare &amp; Skogsstyrelsen, 2019; SLU Artdatabanken, 2025).</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3 naturvårdsarter varav 2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Rödlistade arter</w:t>
      </w:r>
    </w:p>
    <w:p>
      <w:pPr>
        <w:pStyle w:val="Heading1"/>
      </w:pPr>
      <w:r>
        <w:t>Lunglav – ekologi samt krav på livsmiljön</w:t>
      </w:r>
    </w:p>
    <w:p>
      <w:r>
        <w:t xml:space="preserve">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däribland de sällsynta lavparasiterna lunglavshårprick (CR), </w:t>
      </w:r>
      <w:r>
        <w:rPr>
          <w:i/>
        </w:rPr>
        <w:t>Abrothallus diederichii</w:t>
      </w:r>
      <w:r>
        <w:t xml:space="preserve"> (VU), </w:t>
      </w:r>
      <w:r>
        <w:rPr>
          <w:i/>
        </w:rPr>
        <w:t>Abrothallus lobariae</w:t>
      </w:r>
      <w:r>
        <w:t xml:space="preserve"> (VU), </w:t>
      </w:r>
      <w:r>
        <w:rPr>
          <w:i/>
        </w:rPr>
        <w:t>Calycina lobariae</w:t>
      </w:r>
      <w:r>
        <w:t xml:space="preserve"> (VU), lunglavsknapp (VU) och skrovelmössing (VU), som växer på lunglav. Rikliga förekomster med lunglav bör skyddas med biotopskydd, frivilliga avsättningar eller reservat (SLU Artdatabanken, 2026; Nitare &amp; Skogsstyrelsen, 2019).</w:t>
      </w:r>
    </w:p>
    <w:p>
      <w:r>
        <w:t xml:space="preserve">Lunglav är typisk art för </w:t>
      </w:r>
      <w:r>
        <w:rPr>
          <w:i/>
        </w:rPr>
        <w:t>9010 Taiga, 9020 Nordlig ädellövskog, 9110 Näringsfattig bokskog, 9130 Näringsrik bokskog, 9160 Näringsrik ekskog, 9180 Ädellövskog i branter, 9190 Näringsfattig ekskog, 9070 Trädklädd betesmark, 9040 Fjällbjörkskog</w:t>
      </w:r>
      <w:r>
        <w:t xml:space="preserve"> och</w:t>
      </w:r>
      <w:r>
        <w:rPr>
          <w:i/>
        </w:rPr>
        <w:t xml:space="preserve"> 6530 Lövängar</w:t>
      </w:r>
      <w:r>
        <w:t xml:space="preserve"> (SLU Artdatabanken, 2026).</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2026.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2026-08-25</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