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37147-2024 i Strömsunds kommun</w:t>
      </w:r>
    </w:p>
    <w:p>
      <w:r>
        <w:t>Detta klagomål behandlar höga naturvärden i avverkningsanmälan A 37147-2024 i Strömsunds kommun som inkom 2024-09-04 och omfattar 3,9 ha.</w:t>
      </w:r>
    </w:p>
    <w:p>
      <w:pPr>
        <w:pStyle w:val="Caption"/>
      </w:pPr>
      <w:r>
        <w:drawing>
          <wp:inline xmlns:a="http://schemas.openxmlformats.org/drawingml/2006/main" xmlns:pic="http://schemas.openxmlformats.org/drawingml/2006/picture">
            <wp:extent cx="5486400" cy="5691773"/>
            <wp:docPr id="1" name="Picture 1"/>
            <wp:cNvGraphicFramePr>
              <a:graphicFrameLocks noChangeAspect="1"/>
            </wp:cNvGraphicFramePr>
            <a:graphic>
              <a:graphicData uri="http://schemas.openxmlformats.org/drawingml/2006/picture">
                <pic:pic>
                  <pic:nvPicPr>
                    <pic:cNvPr id="0" name="A 37147-2024 karta.png"/>
                    <pic:cNvPicPr/>
                  </pic:nvPicPr>
                  <pic:blipFill>
                    <a:blip r:embed="rId16"/>
                    <a:stretch>
                      <a:fillRect/>
                    </a:stretch>
                  </pic:blipFill>
                  <pic:spPr>
                    <a:xfrm>
                      <a:off x="0" y="0"/>
                      <a:ext cx="5486400" cy="5691773"/>
                    </a:xfrm>
                    <a:prstGeom prst="rect"/>
                  </pic:spPr>
                </pic:pic>
              </a:graphicData>
            </a:graphic>
          </wp:inline>
        </w:drawing>
      </w:r>
    </w:p>
    <w:p>
      <w:pPr>
        <w:pStyle w:val="Caption"/>
        <w:spacing w:after="240"/>
      </w:pPr>
      <w:r>
        <w:t>Figur 1. Fyndplatser för naturvårdsarter inom 6 meter från avverkningsanmälan. Markörer utan svart kant är placerade på fyndplatsen. Markörer med svart kant är placerade vid sidan av fyndplatsen och har ett svart streck som visar fyndplatsens exakta position. Kartans mittpunktskoordinat är N 7106264, E 569904 i SWEREF 99 TM.</w:t>
      </w:r>
    </w:p>
    <w:p>
      <w:r>
        <w:t>Inom 6 meter från avverkningsanmälan finns fynd av 1 naturvårdsarter, varav 1 är rödlistad: vitgrynig nållav (NT).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Vitgrynig nållav (NT)</w:t>
      </w:r>
      <w:r>
        <w:t xml:space="preserve"> växer nästan uteslutande på bark av gamla, senvuxna granar i skuggiga lägen med hög och jämn luftfuktighet. Den vanligaste naturtypen för arten är kontinuitetsskogar på frisk mark men den finns också i sumpgranskogar. På lång sikt utgör avverkningar av olikåldriga granskogar av naturskogskaraktär ett allvarligt hot mot arten och skogsbruksåtgärder på eller i närheten av växtplatserna bör undvikas. Naturskogsartade, fuktiga granskogar med förekomster av arten signalerar höga biologiska värden och bör bevaras (SLU Artdatabanken, 2024;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2026-10-27</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