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1221-2026 i Strömsunds kommun</w:t>
      </w:r>
    </w:p>
    <w:p>
      <w:r>
        <w:t>Detta klagomål behandlar höga naturvärden i samrådsanmälan S 1221-2026 i Strömsunds kommun som inkom 2026-04-27 och omfattar 10,1 ha.</w:t>
      </w:r>
    </w:p>
    <w:p>
      <w:pPr>
        <w:pStyle w:val="Caption"/>
      </w:pPr>
      <w:r>
        <w:drawing>
          <wp:inline xmlns:a="http://schemas.openxmlformats.org/drawingml/2006/main" xmlns:pic="http://schemas.openxmlformats.org/drawingml/2006/picture">
            <wp:extent cx="5486400" cy="2990182"/>
            <wp:docPr id="1" name="Picture 1"/>
            <wp:cNvGraphicFramePr>
              <a:graphicFrameLocks noChangeAspect="1"/>
            </wp:cNvGraphicFramePr>
            <a:graphic>
              <a:graphicData uri="http://schemas.openxmlformats.org/drawingml/2006/picture">
                <pic:pic>
                  <pic:nvPicPr>
                    <pic:cNvPr id="0" name="S 1221-2026 karta.png"/>
                    <pic:cNvPicPr/>
                  </pic:nvPicPr>
                  <pic:blipFill>
                    <a:blip r:embed="rId16"/>
                    <a:stretch>
                      <a:fillRect/>
                    </a:stretch>
                  </pic:blipFill>
                  <pic:spPr>
                    <a:xfrm>
                      <a:off x="0" y="0"/>
                      <a:ext cx="5486400" cy="299018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7124775, E 496658 i SWEREF 99 TM.</w:t>
      </w:r>
    </w:p>
    <w:p>
      <w:r>
        <w:t>I samrådsanmälan finns fynd av 2 naturvårdsarter, varav 2 är rödlistade, 1 är fridlyst och 2 är typiska (T): knärot (VU, T, §8) och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2 fyndplatser för knärot registrerade på Artportalen. Figur 2 visar gränserna för buffertzoner på 50 m, som behöver lämnas kring fyndplatserna för att knärotslokalerna inte ska försvinna vid en avverkning. Av det samrådsanmälda området överlappar 1.08 ha med buffertzonerna och får av detta skäl inte avverkas.</w:t>
      </w:r>
    </w:p>
    <w:p>
      <w:pPr>
        <w:pStyle w:val="Caption"/>
      </w:pPr>
      <w:r>
        <w:drawing>
          <wp:inline xmlns:a="http://schemas.openxmlformats.org/drawingml/2006/main" xmlns:pic="http://schemas.openxmlformats.org/drawingml/2006/picture">
            <wp:extent cx="5486400" cy="2990182"/>
            <wp:docPr id="2" name="Picture 2"/>
            <wp:cNvGraphicFramePr>
              <a:graphicFrameLocks noChangeAspect="1"/>
            </wp:cNvGraphicFramePr>
            <a:graphic>
              <a:graphicData uri="http://schemas.openxmlformats.org/drawingml/2006/picture">
                <pic:pic>
                  <pic:nvPicPr>
                    <pic:cNvPr id="0" name="S 1221-2026 karta knärot.png"/>
                    <pic:cNvPicPr/>
                  </pic:nvPicPr>
                  <pic:blipFill>
                    <a:blip r:embed="rId17"/>
                    <a:stretch>
                      <a:fillRect/>
                    </a:stretch>
                  </pic:blipFill>
                  <pic:spPr>
                    <a:xfrm>
                      <a:off x="0" y="0"/>
                      <a:ext cx="5486400" cy="2990182"/>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7124775, E 496658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