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29495-2024 i Strömsunds kommun</w:t>
      </w:r>
    </w:p>
    <w:p>
      <w:r>
        <w:t>Denna tillsynsbegäran behandlar höga naturvärden i avverkningsanmälan A 29495-2024 i Strömsunds kommun som inkom 2024-07-11 och omfattar 5,7 ha.</w:t>
      </w:r>
    </w:p>
    <w:p>
      <w:pPr>
        <w:pStyle w:val="Caption"/>
      </w:pPr>
      <w:r>
        <w:drawing>
          <wp:inline xmlns:a="http://schemas.openxmlformats.org/drawingml/2006/main" xmlns:pic="http://schemas.openxmlformats.org/drawingml/2006/picture">
            <wp:extent cx="5486400" cy="3595383"/>
            <wp:docPr id="1" name="Picture 1"/>
            <wp:cNvGraphicFramePr>
              <a:graphicFrameLocks noChangeAspect="1"/>
            </wp:cNvGraphicFramePr>
            <a:graphic>
              <a:graphicData uri="http://schemas.openxmlformats.org/drawingml/2006/picture">
                <pic:pic>
                  <pic:nvPicPr>
                    <pic:cNvPr id="0" name="A 29495-2024 karta.png"/>
                    <pic:cNvPicPr/>
                  </pic:nvPicPr>
                  <pic:blipFill>
                    <a:blip r:embed="rId16"/>
                    <a:stretch>
                      <a:fillRect/>
                    </a:stretch>
                  </pic:blipFill>
                  <pic:spPr>
                    <a:xfrm>
                      <a:off x="0" y="0"/>
                      <a:ext cx="5486400" cy="3595383"/>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7144178, E 492847 i SWEREF 99 TM.</w:t>
      </w:r>
    </w:p>
    <w:p>
      <w:r>
        <w:t>I och inom 21 meter från avverkningsanmälan finns fynd av 7 naturvårdsarter, varav 7 är rödlistade och 5 är typiska (T): garnlav (VU, T), gammelgransskål (NT, T), harticka (NT, T), kavernularia (NT), skrovellav (NT, T), ullticka (NT,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Kavernularia (NT)</w:t>
      </w:r>
      <w:r>
        <w:t xml:space="preserve"> är en rikligt förgrenad bladlav, som på den svarta undersidan har rikligt med karaktäristiska små håligheter, s. k. cavernulae. Den växer på de nedre tunna grenarna av gran i halvöppna gamla granskogar i områden av Jämtland och Åsele Lappmark med ett suboceaniskt klimat. Avverkning av kontinuitetsskogar med hög och jämn luftfuktighet är ett hot. Flera områden med kavernularia måste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harticka (NT, T), skrovellav (NT, T) och ullticka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