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40326-2026 i Strömsunds kommun</w:t>
      </w:r>
    </w:p>
    <w:p>
      <w:r>
        <w:t>Denna tillsynsbegäran behandlar höga naturvärden i avverkningsanmälan A 40326-2026 i Strömsunds kommun som inkom 2026-09-29 och omfattar 13,3 ha.</w:t>
      </w:r>
    </w:p>
    <w:p>
      <w:pPr>
        <w:pStyle w:val="Caption"/>
      </w:pPr>
      <w:r>
        <w:drawing>
          <wp:inline xmlns:a="http://schemas.openxmlformats.org/drawingml/2006/main" xmlns:pic="http://schemas.openxmlformats.org/drawingml/2006/picture">
            <wp:extent cx="5486400" cy="4268457"/>
            <wp:docPr id="1" name="Picture 1"/>
            <wp:cNvGraphicFramePr>
              <a:graphicFrameLocks noChangeAspect="1"/>
            </wp:cNvGraphicFramePr>
            <a:graphic>
              <a:graphicData uri="http://schemas.openxmlformats.org/drawingml/2006/picture">
                <pic:pic>
                  <pic:nvPicPr>
                    <pic:cNvPr id="0" name="A 40326-2026 karta.png"/>
                    <pic:cNvPicPr/>
                  </pic:nvPicPr>
                  <pic:blipFill>
                    <a:blip r:embed="rId16"/>
                    <a:stretch>
                      <a:fillRect/>
                    </a:stretch>
                  </pic:blipFill>
                  <pic:spPr>
                    <a:xfrm>
                      <a:off x="0" y="0"/>
                      <a:ext cx="5486400" cy="4268457"/>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7078371, E 511827 i SWEREF 99 TM.</w:t>
      </w:r>
    </w:p>
    <w:p>
      <w:r>
        <w:t>I och inom 22 meter från avverkningsanmälan finns fynd av 10 naturvårdsarter, varav 7 är rödlistade, 2 är fridlysta, 8 är typiska (T) och 3 är signalarter (S): garnlav (VU, T), liten aspgelélav (VU, T), sprickporing (VU), rosenticka (NT, T), talltita (NT, §4), tretåig hackspett (NT, T, §4), ullticka (NT, T), korallblylav (S, T), skinnlav (S, T) och stor aspticka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Liten aspgelélav (VU)</w:t>
      </w:r>
      <w:r>
        <w:t xml:space="preserve">, rödlistad som sårbar, växer på asp i halvöppna boreala blandskogar med hög och jämn luftfuktighet. Den omfattas av åtgärdsprogram (ÅGP) för hotade arter på asp i Norrland och är placerad i toppen av Skogsstyrelsens värdepyramid för bedömning av skog med höga naturvärden. Arten har ett mycket högt skyddsvärde då en mycket stor andel (mer än 90 %) av samtliga kända lokaler i världen finns i Sverige. Samtliga lokaler måste skyddas och inslaget av asp i skogsmark måste öka på lång sikt. Liten aspgelélav är typisk art för </w:t>
      </w:r>
      <w:r>
        <w:rPr>
          <w:i/>
        </w:rPr>
        <w:t>9010 Taiga</w:t>
      </w:r>
      <w:r>
        <w:t xml:space="preserve"> (Naturvårdsverket, 2010; Nitare &amp; Skogsstyrelsen, 2019; SLU Artdatabanken, 2024).</w:t>
      </w:r>
    </w:p>
    <w:p>
      <w:r>
        <w:rPr>
          <w:b/>
        </w:rPr>
        <w:t>Sprickporing (VU)</w:t>
      </w:r>
      <w:r>
        <w:t>, rödlistad som sårbar, är en sällsynt art som växer på senvuxen gran i lågproduktiva miljöer, ett substrat som nybildas i mycket liten skala i modern produktionsskog. Arten bedöms ha minskat kraftigt, med mer än 30 % över de senaste 20 åren, huvudsakligen på grund av slutavverkningar. I bestånd där arten förekommer måste skogsbruk undvikas. Fler av artens lokaler bör skyddas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liten aspgelélav (VU, T), rosenticka (NT, T), tretåig hackspett (NT, T, §4), ullticka (NT, T), korallblylav (S, T), skinnlav (S, T) och stor aspticka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