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38023-2025 i Strömsunds kommun</w:t>
      </w:r>
    </w:p>
    <w:p>
      <w:r>
        <w:t>Denna tillsynsbegäran behandlar höga naturvärden i avverkningsanmälan A 38023-2025 i Strömsunds kommun som inkom 2025-08-13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7114765, E 553611 i SWEREF 99 TM.</w:t>
      </w:r>
    </w:p>
    <w:p>
      <w:r>
        <w:t>I avverkningsanmälan finns fynd av 3 naturvårdsarter, varav 3 är rödlistade och 2 är typiska (T): vitskaftad svartspik (VU, T), rödbrun blekspik (NT,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Vitskaftad svartspik (VU)</w:t>
      </w:r>
      <w:r>
        <w:t xml:space="preserve"> förekommer främst i naturskog på gamla senvuxna granar och signalerar alltid höga naturvärden. Alla skogliga åtgärder som kan påverka markvatten och luftfuktighet på i närheten av lokaler utgör ett hot. Avverkning av naturskogar utgör ett allvarligt hot och alla skogsskötselåtgärder på eller i närheten av växtplatserna bör undvikas. Lämpligt stora reservat av naturskogstyp bör bevaras. Vitskaftad svartspik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