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26406-2023 i Strömsunds kommun</w:t>
      </w:r>
    </w:p>
    <w:p>
      <w:r>
        <w:t>Detta dokument behandlar höga naturvärden i avverkningsanmälan A 26406-2023 i Strömsunds kommun. Denna avverkningsanmälan inkom 2023-06-12 00:00:00 och omfattar 12,8 ha.</w:t>
      </w:r>
    </w:p>
    <w:p>
      <w:r>
        <w:t>Nedan presenteras fynd av naturvårdsarter och fridlysta arter som gjorts i det avverkningsanmälda området, samt relevanta utdrag ur standarderna för FSC, Chain of Custody, Controlled Wood och PEFC. I BILAGA 1 finns artfakta om fridlysta och rödlistade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5 naturvårdsarter hittats: knärot (VU, §8), lunglav (NT), rosenticka (NT), vitgrynig nållav (NT) och blodticka (S). Av dessa är 4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307333"/>
            <wp:docPr id="1" name="Picture 1"/>
            <wp:cNvGraphicFramePr>
              <a:graphicFrameLocks noChangeAspect="1"/>
            </wp:cNvGraphicFramePr>
            <a:graphic>
              <a:graphicData uri="http://schemas.openxmlformats.org/drawingml/2006/picture">
                <pic:pic>
                  <pic:nvPicPr>
                    <pic:cNvPr id="0" name="A 26406-2023 karta.png"/>
                    <pic:cNvPicPr/>
                  </pic:nvPicPr>
                  <pic:blipFill>
                    <a:blip r:embed="rId16"/>
                    <a:stretch>
                      <a:fillRect/>
                    </a:stretch>
                  </pic:blipFill>
                  <pic:spPr>
                    <a:xfrm>
                      <a:off x="0" y="0"/>
                      <a:ext cx="5486400" cy="5307333"/>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7049161, E 534692 i SWEREF 99 TM.</w:t>
      </w:r>
    </w:p>
    <w:p>
      <w:r>
        <w:rPr>
          <w:b/>
        </w:rPr>
        <w:t xml:space="preserve">Blodticka </w:t>
      </w:r>
      <w:r>
        <w:t xml:space="preserve">är i norra Sverige främst knuten till grova granlågor i urskogsartad barrskog, men förekommer ibland även på klenare granar i anslutning till bäckar och sumpskogar. Den är en bra indikator på granskogar med höga naturvärden och oftast förekommer den tillsammans med ett stort antal ovanliga och rödlistade arter. I södra Sverige växer den framför allt på tall och har då ett lägre signalvärde. Blodticka är typisk art för </w:t>
      </w:r>
      <w:r>
        <w:rPr>
          <w:i/>
        </w:rPr>
        <w:t>9030 Landhöjningsskog</w:t>
      </w:r>
      <w:r>
        <w:t xml:space="preserve"> (SLU Artdatabanken, 2025; Nitare &amp; Skogsstyrelsen, 2019).</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Rosenticka (NT)</w:t>
      </w:r>
      <w:r>
        <w:t xml:space="preserve">, rödlistad som nära hotad, ingår i en karaktäristisk association av vedsvampar som växer på gamla, grova granlågor i urskogsartade barrskogar. Den är placerad i toppen av Skogsstyrelsens värdepyramid för bedömning av skog med höga naturvärden och indikerar ett granskogsekosystem med långvarig kontinuitet av grova lågor. Artens beroende av grova granlågor innebär att alla skogsskötselåtgärder på eller i omedelbar närhet av lokalerna utgör ett hot på lång sikt. Det är angeläget att populationerna inte ytterligare glesas ut och ett tillräckligt antal områden där arten nu finns måste sparas för framtiden. Rosenticka är typisk art för </w:t>
      </w:r>
      <w:r>
        <w:rPr>
          <w:i/>
        </w:rPr>
        <w:t xml:space="preserve">9010 Taiga </w:t>
      </w:r>
      <w:r>
        <w:t xml:space="preserve">och </w:t>
      </w:r>
      <w:r>
        <w:rPr>
          <w:i/>
        </w:rPr>
        <w:t>9050 Näringsrik granskog</w:t>
      </w:r>
      <w:r>
        <w:t xml:space="preserve"> (Nitare &amp; Skogsstyrelsen, 2019; SLU Artdatabanken, 2024).</w:t>
      </w:r>
    </w:p>
    <w:p>
      <w:r>
        <w:rPr>
          <w:b/>
        </w:rPr>
        <w:t>Vitgrynig nållav (NT)</w:t>
      </w:r>
      <w:r>
        <w:t xml:space="preserve"> växer nästan uteslutande på bark av gamla, senvuxna granar i skuggiga lägen med hög och jämn luftfuktighet. Den vanligaste naturtypen för arten är kontinuitetsskogar på frisk mark men den finns också i sumpgranskogar. På lång sikt utgör avverkningar av olikåldriga granskogar av naturskogskaraktär ett allvarligt hot mot arten och skogsbruksåtgärder på eller i närheten av växtplatserna bör undvikas. Naturskogsartade, fuktiga granskogar med förekomster av arten signalerar höga biologiska värden och bör bevaras (SLU Artdatabanken, 2024; Nitare &amp; Skogsstyrelsen, 2019).</w:t>
      </w:r>
    </w:p>
    <w:p>
      <w:pPr>
        <w:pStyle w:val="Heading1"/>
      </w:pPr>
      <w:r>
        <w:t>Fridlysta arter</w:t>
      </w:r>
    </w:p>
    <w:p>
      <w:r>
        <w:t>Följande fridlysta arter har sina livsmiljöer och växtplatser i den avverkningsanmälda skogen: knärot (VU, §8).</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3 fyndplatser för knärot registrerade på Artportalen. Figur 2 visar gränserna för buffertzoner på 50 m, som behöver lämnas kring fyndplatserna för att knärotslokalerna inte ska försvinna vid en avverkning. Av det avverkningsanmälda området överlappar 2.18 ha med buffertzonerna och får av detta skäl inte avverkas.</w:t>
      </w:r>
    </w:p>
    <w:p>
      <w:pPr>
        <w:pStyle w:val="Caption"/>
      </w:pPr>
      <w:r>
        <w:drawing>
          <wp:inline xmlns:a="http://schemas.openxmlformats.org/drawingml/2006/main" xmlns:pic="http://schemas.openxmlformats.org/drawingml/2006/picture">
            <wp:extent cx="5486400" cy="6497213"/>
            <wp:docPr id="2" name="Picture 2"/>
            <wp:cNvGraphicFramePr>
              <a:graphicFrameLocks noChangeAspect="1"/>
            </wp:cNvGraphicFramePr>
            <a:graphic>
              <a:graphicData uri="http://schemas.openxmlformats.org/drawingml/2006/picture">
                <pic:pic>
                  <pic:nvPicPr>
                    <pic:cNvPr id="0" name="A 26406-2023 karta knärot.png"/>
                    <pic:cNvPicPr/>
                  </pic:nvPicPr>
                  <pic:blipFill>
                    <a:blip r:embed="rId17"/>
                    <a:stretch>
                      <a:fillRect/>
                    </a:stretch>
                  </pic:blipFill>
                  <pic:spPr>
                    <a:xfrm>
                      <a:off x="0" y="0"/>
                      <a:ext cx="5486400" cy="6497213"/>
                    </a:xfrm>
                    <a:prstGeom prst="rect"/>
                  </pic:spPr>
                </pic:pic>
              </a:graphicData>
            </a:graphic>
          </wp:inline>
        </w:drawing>
      </w:r>
    </w:p>
    <w:p>
      <w:pPr>
        <w:pStyle w:val="Caption"/>
      </w:pPr>
      <w:r>
        <w:t>Figur 2. Fyndplatser och buffertzoner för knärot i det avverkningsanmälda området. Endast fyndplatser vars buffertzoner överlappar med det avverkningsanmälda området har tagits med i visualiseringen. Kartans mittpunktskoordinat är N 7049161, E 534692 i SWEREF 99 TM.</w:t>
      </w:r>
    </w:p>
    <w:p>
      <w:pPr>
        <w:pStyle w:val="Caption"/>
      </w:pP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5 naturvårdsarter varav 4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w:t>
        <w:br/>
        <w:t>Fridlysta och rödlistade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2026-06-16</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