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37713-2025 i Strömsunds kommun</w:t>
      </w:r>
    </w:p>
    <w:p>
      <w:r>
        <w:t>Detta klagomål behandlar höga naturvärden i avverkningsanmälan A 37713-2025 i Strömsunds kommun som inkom 2025-08-11 och omfattar 19,1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37713-2025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7090475, E 514200 i SWEREF 99 TM.</w:t>
      </w:r>
    </w:p>
    <w:p>
      <w:r>
        <w:t>I och inom 24 meter från avverkningsanmälan finns fynd av 23 naturvårdsarter, varav 12 är rödlistade, 7 är fridlysta, 17 är typiska (T) och 8 är signalarter (S): garnlav (VU, T), norsk näverlav (VU), ulltickeporing (VU), dvärgbägarlav (NT, T), lavskrika (NT, T, §4), luddfingersvamp (NT), lunglav (NT, T), skrovellav (NT, T), tretåig hackspett (NT, T, §4), ullticka (NT, T), vedtrappmossa (NT, T), vitgrynig nållav (NT), bårdlav (S, T), luddlav (S, T), plattlummer (S, T, §9), skinnlav (S, T), slanklav (S, T), spindelblomster (S, T, §8), stuplav (S, T), vågbandad barkbock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