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1554-2025 i Strömsunds kommun</w:t>
      </w:r>
    </w:p>
    <w:p>
      <w:r>
        <w:t>Denna tillsynsbegäran behandlar höga naturvärden i samrådsanmälan S 1554-2025 i Strömsunds kommun som inkom 2025-05-15 och omfattar 0,4 ha.</w:t>
      </w:r>
    </w:p>
    <w:p>
      <w:pPr>
        <w:pStyle w:val="Caption"/>
      </w:pPr>
      <w:r>
        <w:drawing>
          <wp:inline xmlns:a="http://schemas.openxmlformats.org/drawingml/2006/main" xmlns:pic="http://schemas.openxmlformats.org/drawingml/2006/picture">
            <wp:extent cx="5486400" cy="5644770"/>
            <wp:docPr id="1" name="Picture 1"/>
            <wp:cNvGraphicFramePr>
              <a:graphicFrameLocks noChangeAspect="1"/>
            </wp:cNvGraphicFramePr>
            <a:graphic>
              <a:graphicData uri="http://schemas.openxmlformats.org/drawingml/2006/picture">
                <pic:pic>
                  <pic:nvPicPr>
                    <pic:cNvPr id="0" name="S 1554-2025 karta.png"/>
                    <pic:cNvPicPr/>
                  </pic:nvPicPr>
                  <pic:blipFill>
                    <a:blip r:embed="rId16"/>
                    <a:stretch>
                      <a:fillRect/>
                    </a:stretch>
                  </pic:blipFill>
                  <pic:spPr>
                    <a:xfrm>
                      <a:off x="0" y="0"/>
                      <a:ext cx="5486400" cy="5644770"/>
                    </a:xfrm>
                    <a:prstGeom prst="rect"/>
                  </pic:spPr>
                </pic:pic>
              </a:graphicData>
            </a:graphic>
          </wp:inline>
        </w:drawing>
      </w:r>
    </w:p>
    <w:p>
      <w:pPr>
        <w:pStyle w:val="Caption"/>
        <w:spacing w:after="240"/>
      </w:pPr>
      <w:r>
        <w:t>Figur 1. Fyndplatser för naturvårdsarter i och inom 1 meter från samrådsanmälan. Markörer utan svart kant är placerade på fyndplatsen. Markörer med svart kant är placerade vid sidan av fyndplatsen och har ett svart streck som visar fyndplatsens exakta position. Kartans mittpunktskoordinat är N 7037223, E 509426 i SWEREF 99 TM.</w:t>
      </w:r>
    </w:p>
    <w:p>
      <w:r>
        <w:t>I och inom 1 meter från samrådsanmälan finns fynd av 2 naturvårdsarter, varav 2 är rödlistade och 1 är typisk (T): silverblåvinge (VU) och storgröe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Storgröe (NT) </w:t>
      </w:r>
      <w:r>
        <w:t xml:space="preserve">växer helst i eller vid källor, i bäckraviner, i frodiga skogssluttningar eller sumpskog. Rörligt, gärna något kalkpåverkat, ytligt grundvatten är en förutsättning. Det är främst förändringar av hydrologiska förhållanden genom dikning, körning med skogsfordon eller avverkning som hotar arten. Växtplatserna bör undantas från normal skogsproduktion och kalavverkning är direkt olämpligt. Storgröe är typisk art för </w:t>
      </w:r>
      <w:r>
        <w:rPr>
          <w:i/>
        </w:rPr>
        <w:t xml:space="preserve">9020 Nordlig ädellövskog </w:t>
      </w:r>
      <w:r>
        <w:t>och</w:t>
      </w:r>
      <w:r>
        <w:rPr>
          <w:i/>
        </w:rPr>
        <w:t xml:space="preserve"> 9080 Lövsumpskog</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