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36207-2023 i Strömsunds kommun</w:t>
      </w:r>
    </w:p>
    <w:p>
      <w:r>
        <w:t>Detta klagomål behandlar höga naturvärden i avverkningsanmälan A 36207-2023 i Strömsunds kommun som inkom 2023-08-11 och omfattar 1,0 ha.</w:t>
      </w:r>
    </w:p>
    <w:p>
      <w:pPr>
        <w:pStyle w:val="Caption"/>
      </w:pPr>
      <w:r>
        <w:drawing>
          <wp:inline xmlns:a="http://schemas.openxmlformats.org/drawingml/2006/main" xmlns:pic="http://schemas.openxmlformats.org/drawingml/2006/picture">
            <wp:extent cx="5486400" cy="5450578"/>
            <wp:docPr id="1" name="Picture 1"/>
            <wp:cNvGraphicFramePr>
              <a:graphicFrameLocks noChangeAspect="1"/>
            </wp:cNvGraphicFramePr>
            <a:graphic>
              <a:graphicData uri="http://schemas.openxmlformats.org/drawingml/2006/picture">
                <pic:pic>
                  <pic:nvPicPr>
                    <pic:cNvPr id="0" name="A 36207-2023 karta.png"/>
                    <pic:cNvPicPr/>
                  </pic:nvPicPr>
                  <pic:blipFill>
                    <a:blip r:embed="rId16"/>
                    <a:stretch>
                      <a:fillRect/>
                    </a:stretch>
                  </pic:blipFill>
                  <pic:spPr>
                    <a:xfrm>
                      <a:off x="0" y="0"/>
                      <a:ext cx="5486400" cy="5450578"/>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7041147, E 514925 i SWEREF 99 TM.</w:t>
      </w:r>
    </w:p>
    <w:p>
      <w:r>
        <w:t>I och inom 16 meter från avverkningsanmälan finns fynd av 6 naturvårdsarter, varav 3 är rödlistade, 4 är fridlysta, 3 är typiska (T) och 2 är signalarter (S): barrfagerspindling (NT), kryddspindling (NT, T), skogsfru (NT, §8), spindelblomster (S, T, §8), tvåblad (S, §8)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Barrfagerspindling (NT)</w:t>
      </w:r>
      <w:r>
        <w:t xml:space="preserve"> bildar mykorrhiza med gran, möjligen också med tall, i äldre kalkbarrskog. Den totala populationen i landet har minskat och bedöms fortsätta minska till följd av avverkning av äldre kalkbarrskog. Arten har begränsad förmåga att återetablera sig efter slutavverkning eller andra storskaliga skogsbruksåtgärder, och det finns inga indikationer på att den långsiktigt kan etablera eller reproducera sig i bestånd som brukas med trakthyggesmetoder, markberedning, gödsling eller förädlat plantmaterial. Minskningstakten för den svenska populationen bedöms vara nära gränsvärdet för Sårbar (VU) (SLU Artdatabanken, 2026).</w:t>
      </w:r>
    </w:p>
    <w:p>
      <w:r>
        <w:rPr>
          <w:b/>
        </w:rPr>
        <w:t>Kryddspindling (NT)</w:t>
      </w:r>
      <w:r>
        <w:t xml:space="preserve"> signalerar örtrika granskogar som normalt har höga naturvärden. Oftast växer den i äldre granskog på kalkrikt underlag och svampen är en mycket användbar signalart för denna miljö. Den utgör en viktig karaktärsart för all äldre kalkbarrskog med lång trädkontinuitet av gran. På lokalerna förekommer nästan alltid många ovanliga och rödlistade arter. Den totala populationen i landet har minskat och bedöms fortsätta minska till följd av avverkning av äldre barrskogar. Kryddspindling är typisk art för </w:t>
      </w:r>
      <w:r>
        <w:rPr>
          <w:i/>
        </w:rPr>
        <w:t xml:space="preserve">9050 Näringsrik granskog </w:t>
      </w:r>
      <w:r>
        <w:t>(Nitare &amp; Skogsstyrelsen, 2000; SLU Artdatabanken, 2026).</w:t>
      </w:r>
    </w:p>
    <w:p>
      <w:r>
        <w:rPr>
          <w:b/>
        </w:rPr>
        <w:t>Skogsfru (NT, §8)</w:t>
      </w:r>
      <w:r>
        <w:t xml:space="preserve"> växer i fuktig, skuggig skog med rörligt markvatten och god förnaproduktion. Den är placerad högst upp i Skogsstyrelsens värdepyramid för bedömning av skog med höga naturvärden och fridlyst enligt 8 § artskyddsförordningen. Slutavverkning utan hänsyn, markberedning och skyddsdikning utgör de allvarligaste hoten mot arten (SLU Artdatabanken, 2024).</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