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45 naturvårdsarter, varav 33 är rödlistade, 3 är fridlysta, 24 är typiska (T) och 10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barkkornlav (S, T), bårdlav (S, T), gytterlav (S, T), korallblylav (S, T), kransrams (S, T), rostfläck (S, T), sotlav (S, T), strutbräken (S, T), stuplav (S, T), trådticka (S, T), hässlebrodd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harticka (NT, T), lavskrika (NT, T, §4), lunglav (NT, T), rödbrun blekspik (NT, T), skrovellav (NT, T), tretåig hackspett (NT, T, §4), vedtrappmossa (NT, T), barkkornlav (S, T), bårdlav (S, T), gytterlav (S, T), korallblylav (S, T), kransrams (S, T), rostfläck (S, T), sotlav (S, T), strutbräken (S, T), stuplav (S, T), trådticka (S, T) och hässlebrodd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