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Tajgaporing (VU) </w:t>
      </w:r>
      <w:r>
        <w:t>växer på ved, framförallt av gran, men även funnen på andra trädslag såsom björk, tall och sälg. Ett stabilt lokalklimat är viktigt för arten som främst förekommer i fuktiga, örtrika gran- och blandskogar av naturskogskvalitet. Status och hotbild oklar, men arten är troligen känslig för uttorkning och uppenbarligen en mycket sällsynt då den förekommer i miljöer som frekvent inventeras men trots det är det få fynd av arten. De svenska lokalerna bör säkerställas och detaljinventeras för att fastställa populationernas storlek. För att klara artens överlevnad på sikt måste fler äldre barrskogar med god tillgång till ved i olika nedbrytningsstadier undantas från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