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1-2025 i Strömsunds kommun</w:t>
      </w:r>
    </w:p>
    <w:p>
      <w:r>
        <w:t>Detta dokument behandlar höga naturvärden i avverkningsanmälan A 1-2025 i Strömsunds kommun. Denna avverkningsanmälan inkom 2025-01-01 och omfattar 10,9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garnlav (NT), spillkråka (NT, §4), talltita (NT, §4), tretåig hackspett (NT, §4), lavskrika (§4) och sparvuggla (§4). Av dessa är 4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929924"/>
            <wp:docPr id="1" name="Picture 1"/>
            <wp:cNvGraphicFramePr>
              <a:graphicFrameLocks noChangeAspect="1"/>
            </wp:cNvGraphicFramePr>
            <a:graphic>
              <a:graphicData uri="http://schemas.openxmlformats.org/drawingml/2006/picture">
                <pic:pic>
                  <pic:nvPicPr>
                    <pic:cNvPr id="0" name="A 1-2025 karta.png"/>
                    <pic:cNvPicPr/>
                  </pic:nvPicPr>
                  <pic:blipFill>
                    <a:blip r:embed="rId16"/>
                    <a:stretch>
                      <a:fillRect/>
                    </a:stretch>
                  </pic:blipFill>
                  <pic:spPr>
                    <a:xfrm>
                      <a:off x="0" y="0"/>
                      <a:ext cx="5486400" cy="292992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7077406, E 518553 i SWEREF 99 TM.</w:t>
      </w:r>
    </w:p>
    <w:p>
      <w:pPr>
        <w:pStyle w:val="Heading1"/>
      </w:pPr>
      <w:r>
        <w:t>Fridlysta arter</w:t>
      </w:r>
    </w:p>
    <w:p>
      <w:r>
        <w:t>Följande fridlysta arter har sina livsmiljöer och växtplatser i den avverkningsanmälda skogen: spillkråka (NT, §4), talltita (NT, §4), tretåig hackspett (NT, §4), lavskrika (§4) och sparvuggla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Lavskrika (§4)</w:t>
      </w:r>
      <w:r>
        <w:t>, prioriterad art i Skogsvårdslagen, är en mycket stationär fågel, som häckar i äldre, slutna och hänglavsrika barrskogar.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(Skogsstyrelsen 2016). Populationen har minskat med 20–40 % de senaste 30 åren. Arten försvinner successivt framför allt vid dess utbredningsgränser (SLU Artdatabanken, 2021).</w:t>
      </w:r>
    </w:p>
    <w:p>
      <w:r>
        <w:rPr>
          <w:b/>
        </w:rPr>
        <w:t>Sparvuggla (§4)</w:t>
      </w:r>
      <w:r>
        <w:t>, som omfattas av fågeldirektivets bilaga 1,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Särskilt avverkning av lövträdsrika kantzoner och igenplantering av gamla inägor (Skogsstyrelsen, 2016).</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Lavskrika – ekologi samt krav på livsmiljön</w:t>
      </w:r>
    </w:p>
    <w:p>
      <w:r>
        <w:t>Lavskrikan är fridlyst enligt 4 § artskyddsförordningen (2007:845) och ingår i förteckningen över prioriterade arter i Skogsstyrelsens föreskrifter och allmänna råd (SKSFS 2011:7) bilaga 4.</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Populationen har minskat med 20–40 % de senaste 30 åren, men i Svensk Fågeltaxerings standardrutter varierar antalet kraftigt och ingen minskning kan skönjas de senaste 18 åren. Arten försvinner successivt framför allt vid dess utbredningsgränser (SLU Artdatabanken, 2022).</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2021. </w:t>
      </w:r>
      <w:r>
        <w:rPr>
          <w:i/>
        </w:rPr>
        <w:t xml:space="preserve">Artfaktablad. Naturvård – artfakta. </w:t>
      </w:r>
      <w:r>
        <w:t>SLU Artdatabanken, Uppsala</w:t>
      </w:r>
    </w:p>
    <w:p>
      <w:pPr>
        <w:pStyle w:val="Heading1"/>
      </w:pPr>
      <w:r>
        <w:t>Sparvuggla – ekologi samt krav på livsmiljön</w:t>
      </w:r>
    </w:p>
    <w:p>
      <w:r>
        <w:t>Sparvuggla (§4), som omfattas av fågeldirektivets bilaga 1,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 särskilt avverkning av lövträdsrika kantzoner och igenplantering av gamla inägor (Skogsstyrelsen, 2016).</w:t>
      </w:r>
    </w:p>
    <w:p>
      <w:pPr>
        <w:pStyle w:val="Heading2"/>
      </w:pPr>
      <w:r>
        <w:t>Referenser – sparvuggla</w:t>
      </w:r>
    </w:p>
    <w:p>
      <w:r>
        <w:t xml:space="preserve">Skogsstyrelsen, 2016. </w:t>
      </w:r>
      <w:r>
        <w:rPr>
          <w:i/>
        </w:rPr>
        <w:t>Vägledning för hänsyn till sparvuggla.</w:t>
      </w:r>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