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44747-2023 i Strömsunds kommun</w:t>
      </w:r>
    </w:p>
    <w:p>
      <w:r>
        <w:t>Detta dokument behandlar höga naturvärden i avverkningsanmälan A 44747-2023 i Strömsunds kommun. Denna avverkningsanmälan inkom 2023-09-21 och omfattar 10,7 ha.</w:t>
      </w:r>
    </w:p>
    <w:p>
      <w:r>
        <w:t>Nedan presenteras fynd av naturvårdsarter och fridlysta arter som gjorts i det avverkningsanmälda området, samt relevanta utdrag ur standarderna för FSC, Chain of Custody, Controlled Wood och PEFC. I BILAGA 1 finns artfakta om fridlysta och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lunglav (NT), spillkråka (NT, §4) och ullticka (NT). Av dessa är 3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414159"/>
            <wp:docPr id="1" name="Picture 1"/>
            <wp:cNvGraphicFramePr>
              <a:graphicFrameLocks noChangeAspect="1"/>
            </wp:cNvGraphicFramePr>
            <a:graphic>
              <a:graphicData uri="http://schemas.openxmlformats.org/drawingml/2006/picture">
                <pic:pic>
                  <pic:nvPicPr>
                    <pic:cNvPr id="0" name="A 44747-2023 karta.png"/>
                    <pic:cNvPicPr/>
                  </pic:nvPicPr>
                  <pic:blipFill>
                    <a:blip r:embed="rId16"/>
                    <a:stretch>
                      <a:fillRect/>
                    </a:stretch>
                  </pic:blipFill>
                  <pic:spPr>
                    <a:xfrm>
                      <a:off x="0" y="0"/>
                      <a:ext cx="5486400" cy="641415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7098683, E 579189 i SWEREF 99 TM.</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pPr>
        <w:pStyle w:val="Heading1"/>
      </w:pPr>
      <w:r>
        <w:t>Fridlysta arter</w:t>
      </w:r>
    </w:p>
    <w:p>
      <w:r>
        <w:t>Följande fridlysta arter har sina livsmiljöer och växtplatser i den avverkningsanmälda skogen: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2025-05-24</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