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51287-2025 i Strömsunds kommun</w:t>
      </w:r>
    </w:p>
    <w:p>
      <w:r>
        <w:t>Denna tillsynsbegäran behandlar höga naturvärden i avverkningsanmälan A 51287-2025 i Strömsunds kommun som inkom 2025-10-20 och omfattar 8,7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51287-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7040118, E 533850 i SWEREF 99 TM.</w:t>
      </w:r>
    </w:p>
    <w:p>
      <w:r>
        <w:t>I och inom 25 meter från avverkningsanmälan finns fynd av 23 naturvårdsarter, varav 19 är rödlistade, 2 är fridlysta, 18 är typiska (T) och 4 är signalarter (S): doftticka (VU, T, §8), fläckporing (VU, T), garnlav (VU, T), goliatmusseron (VU, T), gräddporing (VU, T), knärot (VU, T, §8), dvärgbägarlav (NT, T), kolflarnlav (NT, T), kortskaftad ärgspik (NT), lunglav (NT, T), mörk kolflarnlav (NT), nordtagging (NT), skrovellav (NT, T), skuggblåslav (NT, T), ullticka (NT, T), vedflamlav (NT), vedskivlav (NT, T), vedtrappmossa (NT, T), vitplätt (NT), bårdlav (S, T),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5284666"/>
            <wp:docPr id="2" name="Picture 2"/>
            <wp:cNvGraphicFramePr>
              <a:graphicFrameLocks noChangeAspect="1"/>
            </wp:cNvGraphicFramePr>
            <a:graphic>
              <a:graphicData uri="http://schemas.openxmlformats.org/drawingml/2006/picture">
                <pic:pic>
                  <pic:nvPicPr>
                    <pic:cNvPr id="0" name="A 51287-2025 karta knärot.png"/>
                    <pic:cNvPicPr/>
                  </pic:nvPicPr>
                  <pic:blipFill>
                    <a:blip r:embed="rId17"/>
                    <a:stretch>
                      <a:fillRect/>
                    </a:stretch>
                  </pic:blipFill>
                  <pic:spPr>
                    <a:xfrm>
                      <a:off x="0" y="0"/>
                      <a:ext cx="5486400" cy="52846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7040118, E 533850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goliatmusseron (VU, T), gräddporing (VU, T), knärot (VU, T, §8), dvärgbägarlav (NT, T), kolflarnlav (NT, T), lunglav (NT, T), skrovellav (NT, T), skuggblåslav (NT, T), ullticka (NT, T), vedskivlav (NT, T), vedtrappmossa (NT, T), bårdlav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