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39 naturvårdsarter, varav 29 är rödlistade, 2 är fridlysta, 20 är typiska (T) och 9 är signalarter (S): lunglavshårprick (CR), ros-skivlav (CR), njurlavsknapp (EN), skrovellavsknapp (EN), trådbrosklav (EN), amerikansk sönderfallslav (VU), borsttagging (VU), Cliostomum piceicola (VU), garnlav (VU, T), gränsticka (VU, T), liten sotlav (VU, T), lunglavsknapp (VU), norsk näverlav (VU), skuggkraterlav (VU), smalskaftslav (VU), tvådoftspindling (VU), brunpudrad nållav (NT, T), doftskinn (NT, T), grynig filtlav (NT, T), kavernularia (NT), lunglav (NT, T), nordlig nållav (NT), rödbrun blekspik (NT, T), skrovellav (NT, T), tretåig hackspett (NT, T, §4), vedtrappmossa (NT, T), vitgrynig nållav (NT), grynig kolvlav (DD), Roselliniella nephromatis (DD), barkkornlav (S, T), bårdlav (S, T), gytterlav (S, T), korallblylav (S, T), kransrams (S, T), rostfläck (S, T), sotlav (S, T), stuplav (S, T), trådticka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