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Arten är placerad högst upp i Skogsstyrelsens värdepyramid för bedömning av skog med höga naturvärden och kända lokaler bör undantas från storskaligt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