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44 naturvårdsarter, varav 33 är rödlistade, 3 är fridlysta, 23 är typiska (T) och 10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barkkornlav (S, T), bårdlav (S, T), gytterlav (S, T), korallblylav (S, T), kransrams (S, T), rostfläck (S, T), sotlav (S, T), strutbräken (S, T), stuplav (S, T), trådticka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grynig filtlav (NT, T), harticka (NT, T), lavskrika (NT, T, §4), lunglav (NT, T), rödbrun blekspik (NT, T), skrovellav (NT, T), tretåig hackspett (NT, T, §4), vedtrappmossa (NT, T), barkkornlav (S, T), bårdlav (S, T), gytterlav (S, T), korallblylav (S, T), kransrams (S, T), rostfläck (S, T), sotlav (S, T), strutbräken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